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right" w:tblpY="1621"/>
        <w:tblW w:w="336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302"/>
      </w:tblGrid>
      <w:tr w:rsidR="00272A71" w:rsidRPr="00272A71" w:rsidTr="007A581C">
        <w:trPr>
          <w:trHeight w:val="3811"/>
        </w:trPr>
        <w:tc>
          <w:tcPr>
            <w:tcW w:w="5000" w:type="pct"/>
          </w:tcPr>
          <w:p w:rsidR="007F3193" w:rsidRPr="00272A71" w:rsidRDefault="007F3193" w:rsidP="007A581C">
            <w:pPr>
              <w:pStyle w:val="Sinespaciado"/>
              <w:jc w:val="center"/>
              <w:rPr>
                <w:rFonts w:asciiTheme="minorHAnsi" w:eastAsiaTheme="majorEastAsia" w:hAnsiTheme="minorHAnsi" w:cstheme="minorHAnsi"/>
                <w:color w:val="215868" w:themeColor="accent5" w:themeShade="80"/>
                <w:sz w:val="72"/>
                <w:szCs w:val="72"/>
              </w:rPr>
            </w:pPr>
            <w:r w:rsidRPr="00272A71">
              <w:rPr>
                <w:rFonts w:asciiTheme="minorHAnsi" w:hAnsiTheme="minorHAnsi" w:cstheme="minorHAnsi"/>
                <w:b/>
                <w:color w:val="215868" w:themeColor="accent5" w:themeShade="80"/>
                <w:sz w:val="52"/>
                <w:szCs w:val="52"/>
              </w:rPr>
              <w:br w:type="page"/>
            </w:r>
            <w:sdt>
              <w:sdtPr>
                <w:rPr>
                  <w:rFonts w:asciiTheme="minorHAnsi" w:eastAsiaTheme="majorEastAsia" w:hAnsiTheme="minorHAnsi" w:cstheme="minorHAnsi"/>
                  <w:color w:val="215868" w:themeColor="accent5" w:themeShade="80"/>
                  <w:sz w:val="72"/>
                  <w:szCs w:val="72"/>
                </w:rPr>
                <w:alias w:val="Título"/>
                <w:id w:val="13553149"/>
                <w:placeholder>
                  <w:docPart w:val="0C60056F20F946EDB700415BEB463D5E"/>
                </w:placeholder>
                <w:dataBinding w:prefixMappings="xmlns:ns0='http://schemas.openxmlformats.org/package/2006/metadata/core-properties' xmlns:ns1='http://purl.org/dc/elements/1.1/'" w:xpath="/ns0:coreProperties[1]/ns1:title[1]" w:storeItemID="{6C3C8BC8-F283-45AE-878A-BAB7291924A1}"/>
                <w:text/>
              </w:sdtPr>
              <w:sdtEndPr/>
              <w:sdtContent>
                <w:r w:rsidR="00C93433" w:rsidRPr="00272A71">
                  <w:rPr>
                    <w:rFonts w:asciiTheme="minorHAnsi" w:eastAsiaTheme="majorEastAsia" w:hAnsiTheme="minorHAnsi" w:cstheme="minorHAnsi"/>
                    <w:color w:val="215868" w:themeColor="accent5" w:themeShade="80"/>
                    <w:sz w:val="72"/>
                    <w:szCs w:val="72"/>
                  </w:rPr>
                  <w:t>Informe de Gestión Plan de Acción Proyectos de Inversión 201</w:t>
                </w:r>
                <w:r w:rsidR="00401B27">
                  <w:rPr>
                    <w:rFonts w:asciiTheme="minorHAnsi" w:eastAsiaTheme="majorEastAsia" w:hAnsiTheme="minorHAnsi" w:cstheme="minorHAnsi"/>
                    <w:color w:val="215868" w:themeColor="accent5" w:themeShade="80"/>
                    <w:sz w:val="72"/>
                    <w:szCs w:val="72"/>
                  </w:rPr>
                  <w:t>9</w:t>
                </w:r>
              </w:sdtContent>
            </w:sdt>
          </w:p>
        </w:tc>
      </w:tr>
      <w:tr w:rsidR="00272A71" w:rsidRPr="00272A71" w:rsidTr="007A581C">
        <w:trPr>
          <w:trHeight w:val="2545"/>
        </w:trPr>
        <w:sdt>
          <w:sdtPr>
            <w:rPr>
              <w:rFonts w:asciiTheme="minorHAnsi" w:hAnsiTheme="minorHAnsi" w:cstheme="minorHAnsi"/>
              <w:color w:val="215868" w:themeColor="accent5" w:themeShade="80"/>
              <w:sz w:val="52"/>
              <w:szCs w:val="52"/>
            </w:rPr>
            <w:alias w:val="Subtítulo"/>
            <w:id w:val="13553153"/>
            <w:placeholder>
              <w:docPart w:val="55C21410CCC444C6B3548BA58F4434E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7F3193" w:rsidRPr="00272A71" w:rsidRDefault="00C93433" w:rsidP="00272A71">
                <w:pPr>
                  <w:pStyle w:val="Sinespaciado"/>
                  <w:jc w:val="center"/>
                  <w:rPr>
                    <w:rFonts w:asciiTheme="minorHAnsi" w:hAnsiTheme="minorHAnsi" w:cstheme="minorHAnsi"/>
                    <w:color w:val="215868" w:themeColor="accent5" w:themeShade="80"/>
                    <w:sz w:val="40"/>
                    <w:szCs w:val="40"/>
                  </w:rPr>
                </w:pPr>
                <w:r w:rsidRPr="00272A71">
                  <w:rPr>
                    <w:rFonts w:asciiTheme="minorHAnsi" w:hAnsiTheme="minorHAnsi" w:cstheme="minorHAnsi"/>
                    <w:color w:val="215868" w:themeColor="accent5" w:themeShade="80"/>
                    <w:sz w:val="52"/>
                    <w:szCs w:val="52"/>
                  </w:rPr>
                  <w:t>Unidad Administrativa Especial de Catastro Distrital</w:t>
                </w:r>
              </w:p>
            </w:tc>
          </w:sdtContent>
        </w:sdt>
      </w:tr>
      <w:tr w:rsidR="00272A71" w:rsidRPr="00272A71" w:rsidTr="007A581C">
        <w:trPr>
          <w:trHeight w:val="3181"/>
        </w:trPr>
        <w:tc>
          <w:tcPr>
            <w:tcW w:w="5000" w:type="pct"/>
          </w:tcPr>
          <w:p w:rsidR="007F3193" w:rsidRPr="00272A71" w:rsidRDefault="007F3193" w:rsidP="00272A71">
            <w:pPr>
              <w:pStyle w:val="Sinespaciado"/>
              <w:tabs>
                <w:tab w:val="left" w:pos="527"/>
              </w:tabs>
              <w:rPr>
                <w:rFonts w:asciiTheme="minorHAnsi" w:hAnsiTheme="minorHAnsi" w:cstheme="minorHAnsi"/>
                <w:color w:val="215868" w:themeColor="accent5" w:themeShade="80"/>
                <w:sz w:val="28"/>
                <w:szCs w:val="28"/>
              </w:rPr>
            </w:pPr>
            <w:r w:rsidRPr="00272A71">
              <w:rPr>
                <w:rFonts w:asciiTheme="minorHAnsi" w:hAnsiTheme="minorHAnsi" w:cstheme="minorHAnsi"/>
                <w:noProof/>
                <w:color w:val="215868" w:themeColor="accent5" w:themeShade="80"/>
                <w:sz w:val="24"/>
                <w:szCs w:val="24"/>
                <w:lang w:eastAsia="es-CO"/>
              </w:rPr>
              <w:drawing>
                <wp:anchor distT="0" distB="0" distL="114300" distR="114300" simplePos="0" relativeHeight="251659264" behindDoc="0" locked="0" layoutInCell="1" allowOverlap="1" wp14:anchorId="15AF5EFC" wp14:editId="03DBAA70">
                  <wp:simplePos x="0" y="0"/>
                  <wp:positionH relativeFrom="column">
                    <wp:posOffset>544195</wp:posOffset>
                  </wp:positionH>
                  <wp:positionV relativeFrom="paragraph">
                    <wp:posOffset>53340</wp:posOffset>
                  </wp:positionV>
                  <wp:extent cx="2535555" cy="1860550"/>
                  <wp:effectExtent l="0" t="0" r="0" b="635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555" cy="1860550"/>
                          </a:xfrm>
                          <a:prstGeom prst="rect">
                            <a:avLst/>
                          </a:prstGeom>
                          <a:noFill/>
                        </pic:spPr>
                      </pic:pic>
                    </a:graphicData>
                  </a:graphic>
                  <wp14:sizeRelH relativeFrom="page">
                    <wp14:pctWidth>0</wp14:pctWidth>
                  </wp14:sizeRelH>
                  <wp14:sizeRelV relativeFrom="page">
                    <wp14:pctHeight>0</wp14:pctHeight>
                  </wp14:sizeRelV>
                </wp:anchor>
              </w:drawing>
            </w:r>
          </w:p>
        </w:tc>
      </w:tr>
    </w:tbl>
    <w:p w:rsidR="007A581C" w:rsidRDefault="00530D33" w:rsidP="002C4EFB">
      <w:pPr>
        <w:ind w:left="-567"/>
        <w:jc w:val="center"/>
        <w:rPr>
          <w:rFonts w:cstheme="minorHAnsi"/>
          <w:b/>
          <w:color w:val="215868" w:themeColor="accent5" w:themeShade="80"/>
          <w:sz w:val="52"/>
          <w:szCs w:val="52"/>
        </w:rPr>
      </w:pPr>
      <w:r w:rsidRPr="00272A71">
        <w:rPr>
          <w:rFonts w:cstheme="minorHAnsi"/>
          <w:b/>
          <w:color w:val="215868" w:themeColor="accent5" w:themeShade="80"/>
          <w:sz w:val="52"/>
          <w:szCs w:val="52"/>
        </w:rPr>
        <w:br w:type="page"/>
      </w:r>
      <w:bookmarkStart w:id="0" w:name="_Toc473550078"/>
    </w:p>
    <w:p w:rsidR="007A581C" w:rsidRDefault="007A581C" w:rsidP="002C4EFB">
      <w:pPr>
        <w:ind w:left="-567"/>
        <w:jc w:val="center"/>
        <w:rPr>
          <w:rFonts w:cstheme="minorHAnsi"/>
          <w:color w:val="215868" w:themeColor="accent5" w:themeShade="80"/>
          <w:sz w:val="28"/>
          <w:szCs w:val="28"/>
        </w:rPr>
      </w:pPr>
    </w:p>
    <w:p w:rsidR="007A581C" w:rsidRDefault="007A581C" w:rsidP="002C4EFB">
      <w:pPr>
        <w:ind w:left="-567"/>
        <w:jc w:val="center"/>
        <w:rPr>
          <w:rFonts w:cstheme="minorHAnsi"/>
          <w:color w:val="215868" w:themeColor="accent5" w:themeShade="80"/>
          <w:sz w:val="28"/>
          <w:szCs w:val="28"/>
        </w:rPr>
      </w:pPr>
    </w:p>
    <w:p w:rsidR="00530D33" w:rsidRDefault="00BF1D83" w:rsidP="00CB0844">
      <w:pPr>
        <w:ind w:left="-567"/>
        <w:jc w:val="center"/>
        <w:rPr>
          <w:rFonts w:cstheme="minorHAnsi"/>
          <w:color w:val="215868" w:themeColor="accent5" w:themeShade="80"/>
          <w:sz w:val="28"/>
          <w:szCs w:val="28"/>
        </w:rPr>
      </w:pPr>
      <w:r w:rsidRPr="00C0667D">
        <w:rPr>
          <w:rFonts w:cstheme="minorHAnsi"/>
          <w:color w:val="215868" w:themeColor="accent5" w:themeShade="80"/>
          <w:sz w:val="28"/>
          <w:szCs w:val="28"/>
        </w:rPr>
        <w:t xml:space="preserve">Tabla de </w:t>
      </w:r>
      <w:r w:rsidR="00BF5FF3" w:rsidRPr="00C0667D">
        <w:rPr>
          <w:rFonts w:cstheme="minorHAnsi"/>
          <w:color w:val="215868" w:themeColor="accent5" w:themeShade="80"/>
          <w:sz w:val="28"/>
          <w:szCs w:val="28"/>
        </w:rPr>
        <w:t>C</w:t>
      </w:r>
      <w:r w:rsidRPr="00C0667D">
        <w:rPr>
          <w:rFonts w:cstheme="minorHAnsi"/>
          <w:color w:val="215868" w:themeColor="accent5" w:themeShade="80"/>
          <w:sz w:val="28"/>
          <w:szCs w:val="28"/>
        </w:rPr>
        <w:t>ontenido</w:t>
      </w:r>
      <w:bookmarkEnd w:id="0"/>
    </w:p>
    <w:sdt>
      <w:sdtPr>
        <w:rPr>
          <w:rFonts w:asciiTheme="minorHAnsi" w:eastAsiaTheme="minorHAnsi" w:hAnsiTheme="minorHAnsi" w:cstheme="minorBidi"/>
          <w:b w:val="0"/>
          <w:bCs w:val="0"/>
          <w:color w:val="auto"/>
          <w:sz w:val="22"/>
          <w:szCs w:val="22"/>
          <w:lang w:val="es-ES" w:eastAsia="en-US"/>
        </w:rPr>
        <w:id w:val="852233274"/>
        <w:docPartObj>
          <w:docPartGallery w:val="Table of Contents"/>
          <w:docPartUnique/>
        </w:docPartObj>
      </w:sdtPr>
      <w:sdtEndPr/>
      <w:sdtContent>
        <w:p w:rsidR="00CB0844" w:rsidRPr="00D46AF9" w:rsidRDefault="00CB0844">
          <w:pPr>
            <w:pStyle w:val="TtuloTDC"/>
            <w:rPr>
              <w:sz w:val="32"/>
              <w:szCs w:val="32"/>
            </w:rPr>
          </w:pPr>
        </w:p>
        <w:p w:rsidR="00D46AF9" w:rsidRPr="00D46AF9" w:rsidRDefault="00CB0844">
          <w:pPr>
            <w:pStyle w:val="TDC1"/>
            <w:tabs>
              <w:tab w:val="right" w:leader="dot" w:pos="9346"/>
            </w:tabs>
            <w:rPr>
              <w:rFonts w:eastAsiaTheme="minorEastAsia"/>
              <w:noProof/>
              <w:sz w:val="32"/>
              <w:szCs w:val="32"/>
              <w:lang w:eastAsia="es-CO"/>
            </w:rPr>
          </w:pPr>
          <w:r w:rsidRPr="00D46AF9">
            <w:rPr>
              <w:b/>
              <w:bCs/>
              <w:sz w:val="32"/>
              <w:szCs w:val="32"/>
              <w:lang w:val="es-ES"/>
            </w:rPr>
            <w:fldChar w:fldCharType="begin"/>
          </w:r>
          <w:r w:rsidRPr="00D46AF9">
            <w:rPr>
              <w:b/>
              <w:bCs/>
              <w:sz w:val="32"/>
              <w:szCs w:val="32"/>
              <w:lang w:val="es-ES"/>
            </w:rPr>
            <w:instrText xml:space="preserve"> TOC \o "1-3" \h \z \u </w:instrText>
          </w:r>
          <w:r w:rsidRPr="00D46AF9">
            <w:rPr>
              <w:b/>
              <w:bCs/>
              <w:sz w:val="32"/>
              <w:szCs w:val="32"/>
              <w:lang w:val="es-ES"/>
            </w:rPr>
            <w:fldChar w:fldCharType="separate"/>
          </w:r>
          <w:hyperlink w:anchor="_Toc30767279" w:history="1">
            <w:r w:rsidR="00D46AF9" w:rsidRPr="00D46AF9">
              <w:rPr>
                <w:rStyle w:val="Hipervnculo"/>
                <w:rFonts w:cstheme="minorHAnsi"/>
                <w:noProof/>
                <w:sz w:val="32"/>
                <w:szCs w:val="32"/>
              </w:rPr>
              <w:t>INTRODUCCIÓN</w:t>
            </w:r>
            <w:r w:rsidR="00D46AF9" w:rsidRPr="00D46AF9">
              <w:rPr>
                <w:noProof/>
                <w:webHidden/>
                <w:sz w:val="32"/>
                <w:szCs w:val="32"/>
              </w:rPr>
              <w:tab/>
            </w:r>
            <w:r w:rsidR="00D46AF9" w:rsidRPr="00D46AF9">
              <w:rPr>
                <w:noProof/>
                <w:webHidden/>
                <w:sz w:val="32"/>
                <w:szCs w:val="32"/>
              </w:rPr>
              <w:fldChar w:fldCharType="begin"/>
            </w:r>
            <w:r w:rsidR="00D46AF9" w:rsidRPr="00D46AF9">
              <w:rPr>
                <w:noProof/>
                <w:webHidden/>
                <w:sz w:val="32"/>
                <w:szCs w:val="32"/>
              </w:rPr>
              <w:instrText xml:space="preserve"> PAGEREF _Toc30767279 \h </w:instrText>
            </w:r>
            <w:r w:rsidR="00D46AF9" w:rsidRPr="00D46AF9">
              <w:rPr>
                <w:noProof/>
                <w:webHidden/>
                <w:sz w:val="32"/>
                <w:szCs w:val="32"/>
              </w:rPr>
            </w:r>
            <w:r w:rsidR="00D46AF9" w:rsidRPr="00D46AF9">
              <w:rPr>
                <w:noProof/>
                <w:webHidden/>
                <w:sz w:val="32"/>
                <w:szCs w:val="32"/>
              </w:rPr>
              <w:fldChar w:fldCharType="separate"/>
            </w:r>
            <w:r w:rsidR="00D46AF9" w:rsidRPr="00D46AF9">
              <w:rPr>
                <w:noProof/>
                <w:webHidden/>
                <w:sz w:val="32"/>
                <w:szCs w:val="32"/>
              </w:rPr>
              <w:t>3</w:t>
            </w:r>
            <w:r w:rsidR="00D46AF9" w:rsidRPr="00D46AF9">
              <w:rPr>
                <w:noProof/>
                <w:webHidden/>
                <w:sz w:val="32"/>
                <w:szCs w:val="32"/>
              </w:rPr>
              <w:fldChar w:fldCharType="end"/>
            </w:r>
          </w:hyperlink>
        </w:p>
        <w:p w:rsidR="00D46AF9" w:rsidRPr="00D46AF9" w:rsidRDefault="00FD7285">
          <w:pPr>
            <w:pStyle w:val="TDC1"/>
            <w:tabs>
              <w:tab w:val="left" w:pos="440"/>
              <w:tab w:val="right" w:leader="dot" w:pos="9346"/>
            </w:tabs>
            <w:rPr>
              <w:rFonts w:eastAsiaTheme="minorEastAsia"/>
              <w:noProof/>
              <w:sz w:val="32"/>
              <w:szCs w:val="32"/>
              <w:lang w:eastAsia="es-CO"/>
            </w:rPr>
          </w:pPr>
          <w:hyperlink w:anchor="_Toc30767280" w:history="1">
            <w:r w:rsidR="00D46AF9" w:rsidRPr="00D46AF9">
              <w:rPr>
                <w:rStyle w:val="Hipervnculo"/>
                <w:rFonts w:cstheme="minorHAnsi"/>
                <w:noProof/>
                <w:sz w:val="32"/>
                <w:szCs w:val="32"/>
              </w:rPr>
              <w:t>1.</w:t>
            </w:r>
            <w:r w:rsidR="00D46AF9" w:rsidRPr="00D46AF9">
              <w:rPr>
                <w:rFonts w:eastAsiaTheme="minorEastAsia"/>
                <w:noProof/>
                <w:sz w:val="32"/>
                <w:szCs w:val="32"/>
                <w:lang w:eastAsia="es-CO"/>
              </w:rPr>
              <w:tab/>
            </w:r>
            <w:r w:rsidR="00D46AF9" w:rsidRPr="00D46AF9">
              <w:rPr>
                <w:rStyle w:val="Hipervnculo"/>
                <w:rFonts w:cstheme="minorHAnsi"/>
                <w:noProof/>
                <w:sz w:val="32"/>
                <w:szCs w:val="32"/>
              </w:rPr>
              <w:t>PROYECTOS DE INVERSIÓN</w:t>
            </w:r>
            <w:r w:rsidR="00D46AF9" w:rsidRPr="00D46AF9">
              <w:rPr>
                <w:noProof/>
                <w:webHidden/>
                <w:sz w:val="32"/>
                <w:szCs w:val="32"/>
              </w:rPr>
              <w:tab/>
            </w:r>
            <w:r w:rsidR="00D46AF9" w:rsidRPr="00D46AF9">
              <w:rPr>
                <w:noProof/>
                <w:webHidden/>
                <w:sz w:val="32"/>
                <w:szCs w:val="32"/>
              </w:rPr>
              <w:fldChar w:fldCharType="begin"/>
            </w:r>
            <w:r w:rsidR="00D46AF9" w:rsidRPr="00D46AF9">
              <w:rPr>
                <w:noProof/>
                <w:webHidden/>
                <w:sz w:val="32"/>
                <w:szCs w:val="32"/>
              </w:rPr>
              <w:instrText xml:space="preserve"> PAGEREF _Toc30767280 \h </w:instrText>
            </w:r>
            <w:r w:rsidR="00D46AF9" w:rsidRPr="00D46AF9">
              <w:rPr>
                <w:noProof/>
                <w:webHidden/>
                <w:sz w:val="32"/>
                <w:szCs w:val="32"/>
              </w:rPr>
            </w:r>
            <w:r w:rsidR="00D46AF9" w:rsidRPr="00D46AF9">
              <w:rPr>
                <w:noProof/>
                <w:webHidden/>
                <w:sz w:val="32"/>
                <w:szCs w:val="32"/>
              </w:rPr>
              <w:fldChar w:fldCharType="separate"/>
            </w:r>
            <w:r w:rsidR="00D46AF9" w:rsidRPr="00D46AF9">
              <w:rPr>
                <w:noProof/>
                <w:webHidden/>
                <w:sz w:val="32"/>
                <w:szCs w:val="32"/>
              </w:rPr>
              <w:t>4</w:t>
            </w:r>
            <w:r w:rsidR="00D46AF9" w:rsidRPr="00D46AF9">
              <w:rPr>
                <w:noProof/>
                <w:webHidden/>
                <w:sz w:val="32"/>
                <w:szCs w:val="32"/>
              </w:rPr>
              <w:fldChar w:fldCharType="end"/>
            </w:r>
          </w:hyperlink>
        </w:p>
        <w:p w:rsidR="00D46AF9" w:rsidRPr="00D46AF9" w:rsidRDefault="00FD7285">
          <w:pPr>
            <w:pStyle w:val="TDC1"/>
            <w:tabs>
              <w:tab w:val="left" w:pos="440"/>
              <w:tab w:val="right" w:leader="dot" w:pos="9346"/>
            </w:tabs>
            <w:rPr>
              <w:rFonts w:eastAsiaTheme="minorEastAsia"/>
              <w:noProof/>
              <w:sz w:val="32"/>
              <w:szCs w:val="32"/>
              <w:lang w:eastAsia="es-CO"/>
            </w:rPr>
          </w:pPr>
          <w:hyperlink w:anchor="_Toc30767281" w:history="1">
            <w:r w:rsidR="00D46AF9" w:rsidRPr="00D46AF9">
              <w:rPr>
                <w:rStyle w:val="Hipervnculo"/>
                <w:rFonts w:cstheme="minorHAnsi"/>
                <w:noProof/>
                <w:sz w:val="32"/>
                <w:szCs w:val="32"/>
              </w:rPr>
              <w:t>2.</w:t>
            </w:r>
            <w:r w:rsidR="00D46AF9" w:rsidRPr="00D46AF9">
              <w:rPr>
                <w:rFonts w:eastAsiaTheme="minorEastAsia"/>
                <w:noProof/>
                <w:sz w:val="32"/>
                <w:szCs w:val="32"/>
                <w:lang w:eastAsia="es-CO"/>
              </w:rPr>
              <w:tab/>
            </w:r>
            <w:r w:rsidR="00D46AF9" w:rsidRPr="00D46AF9">
              <w:rPr>
                <w:rStyle w:val="Hipervnculo"/>
                <w:rFonts w:cstheme="minorHAnsi"/>
                <w:noProof/>
                <w:sz w:val="32"/>
                <w:szCs w:val="32"/>
              </w:rPr>
              <w:t>INFORME DE GESTIÓN PROYECTOS DE INVERSIÓN 2019</w:t>
            </w:r>
            <w:r w:rsidR="00D46AF9" w:rsidRPr="00D46AF9">
              <w:rPr>
                <w:noProof/>
                <w:webHidden/>
                <w:sz w:val="32"/>
                <w:szCs w:val="32"/>
              </w:rPr>
              <w:tab/>
            </w:r>
            <w:r w:rsidR="00D46AF9" w:rsidRPr="00D46AF9">
              <w:rPr>
                <w:noProof/>
                <w:webHidden/>
                <w:sz w:val="32"/>
                <w:szCs w:val="32"/>
              </w:rPr>
              <w:fldChar w:fldCharType="begin"/>
            </w:r>
            <w:r w:rsidR="00D46AF9" w:rsidRPr="00D46AF9">
              <w:rPr>
                <w:noProof/>
                <w:webHidden/>
                <w:sz w:val="32"/>
                <w:szCs w:val="32"/>
              </w:rPr>
              <w:instrText xml:space="preserve"> PAGEREF _Toc30767281 \h </w:instrText>
            </w:r>
            <w:r w:rsidR="00D46AF9" w:rsidRPr="00D46AF9">
              <w:rPr>
                <w:noProof/>
                <w:webHidden/>
                <w:sz w:val="32"/>
                <w:szCs w:val="32"/>
              </w:rPr>
            </w:r>
            <w:r w:rsidR="00D46AF9" w:rsidRPr="00D46AF9">
              <w:rPr>
                <w:noProof/>
                <w:webHidden/>
                <w:sz w:val="32"/>
                <w:szCs w:val="32"/>
              </w:rPr>
              <w:fldChar w:fldCharType="separate"/>
            </w:r>
            <w:r w:rsidR="00D46AF9" w:rsidRPr="00D46AF9">
              <w:rPr>
                <w:noProof/>
                <w:webHidden/>
                <w:sz w:val="32"/>
                <w:szCs w:val="32"/>
              </w:rPr>
              <w:t>6</w:t>
            </w:r>
            <w:r w:rsidR="00D46AF9" w:rsidRPr="00D46AF9">
              <w:rPr>
                <w:noProof/>
                <w:webHidden/>
                <w:sz w:val="32"/>
                <w:szCs w:val="32"/>
              </w:rPr>
              <w:fldChar w:fldCharType="end"/>
            </w:r>
          </w:hyperlink>
        </w:p>
        <w:p w:rsidR="00D46AF9" w:rsidRPr="00D46AF9" w:rsidRDefault="00FD7285">
          <w:pPr>
            <w:pStyle w:val="TDC1"/>
            <w:tabs>
              <w:tab w:val="right" w:leader="dot" w:pos="9346"/>
            </w:tabs>
            <w:rPr>
              <w:rFonts w:eastAsiaTheme="minorEastAsia"/>
              <w:noProof/>
              <w:sz w:val="32"/>
              <w:szCs w:val="32"/>
              <w:lang w:eastAsia="es-CO"/>
            </w:rPr>
          </w:pPr>
          <w:hyperlink w:anchor="_Toc30767282" w:history="1">
            <w:r w:rsidR="00D46AF9" w:rsidRPr="00D46AF9">
              <w:rPr>
                <w:rStyle w:val="Hipervnculo"/>
                <w:rFonts w:cstheme="minorHAnsi"/>
                <w:noProof/>
                <w:sz w:val="32"/>
                <w:szCs w:val="32"/>
              </w:rPr>
              <w:t>ANEXOS</w:t>
            </w:r>
            <w:r w:rsidR="00D46AF9" w:rsidRPr="00D46AF9">
              <w:rPr>
                <w:noProof/>
                <w:webHidden/>
                <w:sz w:val="32"/>
                <w:szCs w:val="32"/>
              </w:rPr>
              <w:tab/>
            </w:r>
            <w:r w:rsidR="00D46AF9" w:rsidRPr="00D46AF9">
              <w:rPr>
                <w:noProof/>
                <w:webHidden/>
                <w:sz w:val="32"/>
                <w:szCs w:val="32"/>
              </w:rPr>
              <w:fldChar w:fldCharType="begin"/>
            </w:r>
            <w:r w:rsidR="00D46AF9" w:rsidRPr="00D46AF9">
              <w:rPr>
                <w:noProof/>
                <w:webHidden/>
                <w:sz w:val="32"/>
                <w:szCs w:val="32"/>
              </w:rPr>
              <w:instrText xml:space="preserve"> PAGEREF _Toc30767282 \h </w:instrText>
            </w:r>
            <w:r w:rsidR="00D46AF9" w:rsidRPr="00D46AF9">
              <w:rPr>
                <w:noProof/>
                <w:webHidden/>
                <w:sz w:val="32"/>
                <w:szCs w:val="32"/>
              </w:rPr>
            </w:r>
            <w:r w:rsidR="00D46AF9" w:rsidRPr="00D46AF9">
              <w:rPr>
                <w:noProof/>
                <w:webHidden/>
                <w:sz w:val="32"/>
                <w:szCs w:val="32"/>
              </w:rPr>
              <w:fldChar w:fldCharType="separate"/>
            </w:r>
            <w:r w:rsidR="00D46AF9" w:rsidRPr="00D46AF9">
              <w:rPr>
                <w:noProof/>
                <w:webHidden/>
                <w:sz w:val="32"/>
                <w:szCs w:val="32"/>
              </w:rPr>
              <w:t>54</w:t>
            </w:r>
            <w:r w:rsidR="00D46AF9" w:rsidRPr="00D46AF9">
              <w:rPr>
                <w:noProof/>
                <w:webHidden/>
                <w:sz w:val="32"/>
                <w:szCs w:val="32"/>
              </w:rPr>
              <w:fldChar w:fldCharType="end"/>
            </w:r>
          </w:hyperlink>
        </w:p>
        <w:p w:rsidR="00CB0844" w:rsidRDefault="00CB0844">
          <w:r w:rsidRPr="00D46AF9">
            <w:rPr>
              <w:b/>
              <w:bCs/>
              <w:sz w:val="32"/>
              <w:szCs w:val="32"/>
              <w:lang w:val="es-ES"/>
            </w:rPr>
            <w:fldChar w:fldCharType="end"/>
          </w:r>
        </w:p>
      </w:sdtContent>
    </w:sdt>
    <w:p w:rsidR="00CB0844" w:rsidRPr="00C0667D" w:rsidRDefault="00CB0844" w:rsidP="00CB0844">
      <w:pPr>
        <w:ind w:left="-567"/>
        <w:jc w:val="center"/>
        <w:rPr>
          <w:rFonts w:cstheme="minorHAnsi"/>
          <w:color w:val="215868" w:themeColor="accent5" w:themeShade="80"/>
          <w:sz w:val="28"/>
          <w:szCs w:val="28"/>
        </w:rPr>
      </w:pPr>
    </w:p>
    <w:p w:rsidR="00530D33" w:rsidRPr="00C0667D" w:rsidRDefault="00530D33" w:rsidP="00BF1D83">
      <w:pPr>
        <w:ind w:left="-567"/>
        <w:rPr>
          <w:rFonts w:cstheme="minorHAnsi"/>
          <w:color w:val="215868" w:themeColor="accent5" w:themeShade="80"/>
          <w:sz w:val="28"/>
          <w:szCs w:val="28"/>
        </w:rPr>
      </w:pPr>
      <w:r w:rsidRPr="00C0667D">
        <w:rPr>
          <w:rFonts w:cstheme="minorHAnsi"/>
          <w:color w:val="215868" w:themeColor="accent5" w:themeShade="80"/>
          <w:sz w:val="28"/>
          <w:szCs w:val="28"/>
        </w:rPr>
        <w:br w:type="page"/>
      </w:r>
    </w:p>
    <w:p w:rsidR="007B1751" w:rsidRPr="00CB0844" w:rsidRDefault="007B1751" w:rsidP="007A581C">
      <w:pPr>
        <w:pStyle w:val="Ttulo"/>
        <w:ind w:left="-567"/>
        <w:outlineLvl w:val="0"/>
        <w:rPr>
          <w:rFonts w:asciiTheme="minorHAnsi" w:hAnsiTheme="minorHAnsi" w:cstheme="minorHAnsi"/>
        </w:rPr>
      </w:pPr>
      <w:bookmarkStart w:id="1" w:name="_Toc30767279"/>
      <w:r w:rsidRPr="00CB0844">
        <w:rPr>
          <w:rFonts w:asciiTheme="minorHAnsi" w:hAnsiTheme="minorHAnsi" w:cstheme="minorHAnsi"/>
        </w:rPr>
        <w:t>INTRODUCCIÓN</w:t>
      </w:r>
      <w:bookmarkEnd w:id="1"/>
    </w:p>
    <w:p w:rsidR="00C418CE" w:rsidRPr="00272A71" w:rsidRDefault="000A0702" w:rsidP="00BF1D83">
      <w:pPr>
        <w:ind w:left="-567"/>
        <w:jc w:val="both"/>
        <w:rPr>
          <w:rFonts w:cstheme="minorHAnsi"/>
          <w:color w:val="215868" w:themeColor="accent5" w:themeShade="80"/>
          <w:sz w:val="28"/>
          <w:szCs w:val="28"/>
        </w:rPr>
      </w:pPr>
      <w:r w:rsidRPr="00272A71">
        <w:rPr>
          <w:rFonts w:cstheme="minorHAnsi"/>
          <w:color w:val="215868" w:themeColor="accent5" w:themeShade="80"/>
          <w:sz w:val="28"/>
          <w:szCs w:val="28"/>
        </w:rPr>
        <w:t>El Plan Distrital de Desarrollo 2016-2020 “Bogotá Mejor Para Todos”</w:t>
      </w:r>
      <w:r w:rsidR="00093E75" w:rsidRPr="00272A71">
        <w:rPr>
          <w:rFonts w:cstheme="minorHAnsi"/>
          <w:color w:val="215868" w:themeColor="accent5" w:themeShade="80"/>
          <w:sz w:val="28"/>
          <w:szCs w:val="28"/>
        </w:rPr>
        <w:t>, aprobado mediante el Acuerdo 645 de 2016</w:t>
      </w:r>
      <w:r w:rsidR="00093E75" w:rsidRPr="00272A71">
        <w:rPr>
          <w:rStyle w:val="Refdenotaalpie"/>
          <w:rFonts w:cstheme="minorHAnsi"/>
          <w:color w:val="215868" w:themeColor="accent5" w:themeShade="80"/>
          <w:sz w:val="28"/>
          <w:szCs w:val="28"/>
        </w:rPr>
        <w:footnoteReference w:id="1"/>
      </w:r>
      <w:r w:rsidRPr="00272A71">
        <w:rPr>
          <w:rFonts w:cstheme="minorHAnsi"/>
          <w:color w:val="215868" w:themeColor="accent5" w:themeShade="80"/>
          <w:sz w:val="28"/>
          <w:szCs w:val="28"/>
        </w:rPr>
        <w:t xml:space="preserve">, </w:t>
      </w:r>
      <w:r w:rsidR="00C418CE" w:rsidRPr="00272A71">
        <w:rPr>
          <w:rFonts w:cstheme="minorHAnsi"/>
          <w:color w:val="215868" w:themeColor="accent5" w:themeShade="80"/>
          <w:sz w:val="28"/>
          <w:szCs w:val="28"/>
        </w:rPr>
        <w:t>tiene como objetivo central propiciar el desarrollo pleno del potencial de los habitantes de la ciudad, para alcanzar la felicidad de todos en su condición de individuos, miembros de una familia y de la sociedad, para lo cual la ciudad se transformará en un escenario para incrementar el bienestar de sus habitantes y será reflejo de la confianza ciudadana en la capacidad de ser mejores y vivir mejor.</w:t>
      </w:r>
    </w:p>
    <w:p w:rsidR="004421F5" w:rsidRPr="00272A71" w:rsidRDefault="004421F5" w:rsidP="00BF1D83">
      <w:pPr>
        <w:ind w:left="-567"/>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Por su parte, </w:t>
      </w:r>
      <w:r w:rsidR="00093E75" w:rsidRPr="00272A71">
        <w:rPr>
          <w:rFonts w:cstheme="minorHAnsi"/>
          <w:color w:val="215868" w:themeColor="accent5" w:themeShade="80"/>
          <w:sz w:val="28"/>
          <w:szCs w:val="28"/>
        </w:rPr>
        <w:t>el Acuerdo 257 de 2006</w:t>
      </w:r>
      <w:r w:rsidR="00093E75" w:rsidRPr="00272A71">
        <w:rPr>
          <w:rStyle w:val="Refdenotaalpie"/>
          <w:rFonts w:cstheme="minorHAnsi"/>
          <w:color w:val="215868" w:themeColor="accent5" w:themeShade="80"/>
          <w:sz w:val="28"/>
          <w:szCs w:val="28"/>
        </w:rPr>
        <w:footnoteReference w:id="2"/>
      </w:r>
      <w:r w:rsidR="00093E75" w:rsidRPr="00272A71">
        <w:rPr>
          <w:rFonts w:cstheme="minorHAnsi"/>
          <w:color w:val="215868" w:themeColor="accent5" w:themeShade="80"/>
          <w:sz w:val="28"/>
          <w:szCs w:val="28"/>
        </w:rPr>
        <w:t xml:space="preserve"> establece que </w:t>
      </w:r>
      <w:r w:rsidRPr="00272A71">
        <w:rPr>
          <w:rFonts w:cstheme="minorHAnsi"/>
          <w:color w:val="215868" w:themeColor="accent5" w:themeShade="80"/>
          <w:sz w:val="28"/>
          <w:szCs w:val="28"/>
        </w:rPr>
        <w:t>la Unidad Administrativa Especial de Catastro Distrital tiene por objeto responder por la recopilación e integración de la información georreferenciada de la propiedad inmueble del Distrito Capital en sus aspectos físico, jurídico y económico, que contribuya a la planeación económica, social y territorial del Distrito Capital.</w:t>
      </w:r>
    </w:p>
    <w:p w:rsidR="0034326C" w:rsidRPr="00272A71" w:rsidRDefault="00C418CE" w:rsidP="00BF1D83">
      <w:pPr>
        <w:ind w:left="-567"/>
        <w:jc w:val="both"/>
        <w:rPr>
          <w:rFonts w:cstheme="minorHAnsi"/>
          <w:color w:val="215868" w:themeColor="accent5" w:themeShade="80"/>
          <w:sz w:val="28"/>
          <w:szCs w:val="28"/>
        </w:rPr>
      </w:pPr>
      <w:r w:rsidRPr="00272A71">
        <w:rPr>
          <w:rFonts w:cstheme="minorHAnsi"/>
          <w:color w:val="215868" w:themeColor="accent5" w:themeShade="80"/>
          <w:sz w:val="28"/>
          <w:szCs w:val="28"/>
        </w:rPr>
        <w:t>Con el fin de aportar al cumplimiento</w:t>
      </w:r>
      <w:r w:rsidR="004421F5" w:rsidRPr="00272A71">
        <w:rPr>
          <w:rFonts w:cstheme="minorHAnsi"/>
          <w:color w:val="215868" w:themeColor="accent5" w:themeShade="80"/>
          <w:sz w:val="28"/>
          <w:szCs w:val="28"/>
        </w:rPr>
        <w:t xml:space="preserve"> de este objeto, en alineación con lo dispuesto en el Plan de Desarrollo Distrital</w:t>
      </w:r>
      <w:r w:rsidRPr="00272A71">
        <w:rPr>
          <w:rFonts w:cstheme="minorHAnsi"/>
          <w:color w:val="215868" w:themeColor="accent5" w:themeShade="80"/>
          <w:sz w:val="28"/>
          <w:szCs w:val="28"/>
        </w:rPr>
        <w:t xml:space="preserve">, </w:t>
      </w:r>
      <w:r w:rsidR="004421F5" w:rsidRPr="00272A71">
        <w:rPr>
          <w:rFonts w:cstheme="minorHAnsi"/>
          <w:color w:val="215868" w:themeColor="accent5" w:themeShade="80"/>
          <w:sz w:val="28"/>
          <w:szCs w:val="28"/>
        </w:rPr>
        <w:t>la UAECD</w:t>
      </w:r>
      <w:r w:rsidRPr="00272A71">
        <w:rPr>
          <w:rFonts w:cstheme="minorHAnsi"/>
          <w:color w:val="215868" w:themeColor="accent5" w:themeShade="80"/>
          <w:sz w:val="28"/>
          <w:szCs w:val="28"/>
        </w:rPr>
        <w:t xml:space="preserve"> </w:t>
      </w:r>
      <w:r w:rsidR="0034326C" w:rsidRPr="00272A71">
        <w:rPr>
          <w:rFonts w:cstheme="minorHAnsi"/>
          <w:color w:val="215868" w:themeColor="accent5" w:themeShade="80"/>
          <w:sz w:val="28"/>
          <w:szCs w:val="28"/>
        </w:rPr>
        <w:t>ha formulado dos proyectos de inversión</w:t>
      </w:r>
      <w:r w:rsidR="000A0702" w:rsidRPr="00272A71">
        <w:rPr>
          <w:rFonts w:cstheme="minorHAnsi"/>
          <w:color w:val="215868" w:themeColor="accent5" w:themeShade="80"/>
          <w:sz w:val="28"/>
          <w:szCs w:val="28"/>
        </w:rPr>
        <w:t xml:space="preserve"> en el marco de su r</w:t>
      </w:r>
      <w:r w:rsidRPr="00272A71">
        <w:rPr>
          <w:rFonts w:cstheme="minorHAnsi"/>
          <w:color w:val="215868" w:themeColor="accent5" w:themeShade="80"/>
          <w:sz w:val="28"/>
          <w:szCs w:val="28"/>
        </w:rPr>
        <w:t>ol misional</w:t>
      </w:r>
      <w:r w:rsidR="0034326C" w:rsidRPr="00272A71">
        <w:rPr>
          <w:rFonts w:cstheme="minorHAnsi"/>
          <w:color w:val="215868" w:themeColor="accent5" w:themeShade="80"/>
          <w:sz w:val="28"/>
          <w:szCs w:val="28"/>
        </w:rPr>
        <w:t>, a saber:</w:t>
      </w:r>
    </w:p>
    <w:p w:rsidR="0034326C" w:rsidRPr="00272A71" w:rsidRDefault="0034326C" w:rsidP="00BF1D83">
      <w:pPr>
        <w:ind w:left="-567"/>
        <w:jc w:val="both"/>
        <w:rPr>
          <w:rFonts w:cstheme="minorHAnsi"/>
          <w:color w:val="215868" w:themeColor="accent5" w:themeShade="80"/>
          <w:sz w:val="28"/>
          <w:szCs w:val="28"/>
        </w:rPr>
      </w:pPr>
      <w:r w:rsidRPr="00272A71">
        <w:rPr>
          <w:rFonts w:cstheme="minorHAnsi"/>
          <w:color w:val="215868" w:themeColor="accent5" w:themeShade="80"/>
          <w:sz w:val="28"/>
          <w:szCs w:val="28"/>
        </w:rPr>
        <w:t>Proyecto 0983 – Capturar, integrar y disponer información geográfica y catas</w:t>
      </w:r>
      <w:r w:rsidR="00485235" w:rsidRPr="00272A71">
        <w:rPr>
          <w:rFonts w:cstheme="minorHAnsi"/>
          <w:color w:val="215868" w:themeColor="accent5" w:themeShade="80"/>
          <w:sz w:val="28"/>
          <w:szCs w:val="28"/>
        </w:rPr>
        <w:t>tral para la toma de decisiones.</w:t>
      </w:r>
    </w:p>
    <w:p w:rsidR="0034326C" w:rsidRPr="00272A71" w:rsidRDefault="0034326C" w:rsidP="00BF1D83">
      <w:pPr>
        <w:ind w:left="-567"/>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Proyecto 1180 – Afianzar una gestión pública efectiva. </w:t>
      </w:r>
    </w:p>
    <w:p w:rsidR="000A0702" w:rsidRPr="00272A71" w:rsidRDefault="0034326C" w:rsidP="00BF1D83">
      <w:pPr>
        <w:ind w:left="-567"/>
        <w:jc w:val="both"/>
        <w:rPr>
          <w:rFonts w:cstheme="minorHAnsi"/>
          <w:color w:val="215868" w:themeColor="accent5" w:themeShade="80"/>
          <w:sz w:val="28"/>
          <w:szCs w:val="28"/>
        </w:rPr>
      </w:pPr>
      <w:r w:rsidRPr="00272A71">
        <w:rPr>
          <w:rFonts w:cstheme="minorHAnsi"/>
          <w:color w:val="215868" w:themeColor="accent5" w:themeShade="80"/>
          <w:sz w:val="28"/>
          <w:szCs w:val="28"/>
        </w:rPr>
        <w:t>El presente informe de gestión relaciona las principales acciones desarrolladas durante la ejecución de estos proyectos de in</w:t>
      </w:r>
      <w:r w:rsidR="007F3193" w:rsidRPr="00272A71">
        <w:rPr>
          <w:rFonts w:cstheme="minorHAnsi"/>
          <w:color w:val="215868" w:themeColor="accent5" w:themeShade="80"/>
          <w:sz w:val="28"/>
          <w:szCs w:val="28"/>
        </w:rPr>
        <w:t>versión durante la vigencia 201</w:t>
      </w:r>
      <w:r w:rsidR="00665E49">
        <w:rPr>
          <w:rFonts w:cstheme="minorHAnsi"/>
          <w:color w:val="215868" w:themeColor="accent5" w:themeShade="80"/>
          <w:sz w:val="28"/>
          <w:szCs w:val="28"/>
        </w:rPr>
        <w:t>9</w:t>
      </w:r>
      <w:r w:rsidRPr="00272A71">
        <w:rPr>
          <w:rFonts w:cstheme="minorHAnsi"/>
          <w:color w:val="215868" w:themeColor="accent5" w:themeShade="80"/>
          <w:sz w:val="28"/>
          <w:szCs w:val="28"/>
        </w:rPr>
        <w:t>, con énfasis en el cumplimiento de la</w:t>
      </w:r>
      <w:r w:rsidR="004421F5" w:rsidRPr="00272A71">
        <w:rPr>
          <w:rFonts w:cstheme="minorHAnsi"/>
          <w:color w:val="215868" w:themeColor="accent5" w:themeShade="80"/>
          <w:sz w:val="28"/>
          <w:szCs w:val="28"/>
        </w:rPr>
        <w:t xml:space="preserve">s metas, la ejecución presupuestal y su aporte en el cumplimiento de las metas e indicadores del Plan de Desarrollo Bogotá </w:t>
      </w:r>
      <w:r w:rsidR="007F3193" w:rsidRPr="00272A71">
        <w:rPr>
          <w:rFonts w:cstheme="minorHAnsi"/>
          <w:color w:val="215868" w:themeColor="accent5" w:themeShade="80"/>
          <w:sz w:val="28"/>
          <w:szCs w:val="28"/>
        </w:rPr>
        <w:t>M</w:t>
      </w:r>
      <w:r w:rsidR="004421F5" w:rsidRPr="00272A71">
        <w:rPr>
          <w:rFonts w:cstheme="minorHAnsi"/>
          <w:color w:val="215868" w:themeColor="accent5" w:themeShade="80"/>
          <w:sz w:val="28"/>
          <w:szCs w:val="28"/>
        </w:rPr>
        <w:t xml:space="preserve">ejor </w:t>
      </w:r>
      <w:r w:rsidR="007F3193" w:rsidRPr="00272A71">
        <w:rPr>
          <w:rFonts w:cstheme="minorHAnsi"/>
          <w:color w:val="215868" w:themeColor="accent5" w:themeShade="80"/>
          <w:sz w:val="28"/>
          <w:szCs w:val="28"/>
        </w:rPr>
        <w:t>p</w:t>
      </w:r>
      <w:r w:rsidR="004421F5" w:rsidRPr="00272A71">
        <w:rPr>
          <w:rFonts w:cstheme="minorHAnsi"/>
          <w:color w:val="215868" w:themeColor="accent5" w:themeShade="80"/>
          <w:sz w:val="28"/>
          <w:szCs w:val="28"/>
        </w:rPr>
        <w:t>ara Todos.</w:t>
      </w:r>
    </w:p>
    <w:p w:rsidR="00D376C9" w:rsidRPr="00272A71" w:rsidRDefault="00A4015C" w:rsidP="009E2852">
      <w:pPr>
        <w:pStyle w:val="Ttulo"/>
        <w:numPr>
          <w:ilvl w:val="0"/>
          <w:numId w:val="4"/>
        </w:numPr>
        <w:ind w:hanging="153"/>
        <w:jc w:val="both"/>
        <w:outlineLvl w:val="0"/>
        <w:rPr>
          <w:rFonts w:asciiTheme="minorHAnsi" w:hAnsiTheme="minorHAnsi" w:cstheme="minorHAnsi"/>
          <w:color w:val="215868" w:themeColor="accent5" w:themeShade="80"/>
        </w:rPr>
      </w:pPr>
      <w:r w:rsidRPr="00272A71">
        <w:rPr>
          <w:rFonts w:asciiTheme="minorHAnsi" w:hAnsiTheme="minorHAnsi" w:cstheme="minorHAnsi"/>
          <w:color w:val="215868" w:themeColor="accent5" w:themeShade="80"/>
        </w:rPr>
        <w:br w:type="page"/>
      </w:r>
      <w:bookmarkStart w:id="2" w:name="_Toc30767280"/>
      <w:r w:rsidR="00D376C9" w:rsidRPr="00272A71">
        <w:rPr>
          <w:rFonts w:asciiTheme="minorHAnsi" w:hAnsiTheme="minorHAnsi" w:cstheme="minorHAnsi"/>
          <w:color w:val="215868" w:themeColor="accent5" w:themeShade="80"/>
        </w:rPr>
        <w:t>PROYECTOS DE INVERSIÓN</w:t>
      </w:r>
      <w:bookmarkEnd w:id="2"/>
    </w:p>
    <w:p w:rsidR="005C347A" w:rsidRDefault="005C347A" w:rsidP="001B5238">
      <w:pPr>
        <w:rPr>
          <w:rFonts w:cstheme="minorHAnsi"/>
          <w:color w:val="215868" w:themeColor="accent5" w:themeShade="80"/>
          <w:sz w:val="28"/>
          <w:szCs w:val="28"/>
        </w:rPr>
      </w:pPr>
      <w:r w:rsidRPr="00272A71">
        <w:rPr>
          <w:rFonts w:cstheme="minorHAnsi"/>
          <w:color w:val="215868" w:themeColor="accent5" w:themeShade="80"/>
          <w:sz w:val="28"/>
          <w:szCs w:val="28"/>
        </w:rPr>
        <w:t>En el marco del Plan de Desarrollo Distrital 2016-2020 “Bogotá Mejor Para Todos”, Catastro Bogotá articula su accionar de la siguiente manera:</w:t>
      </w:r>
    </w:p>
    <w:p w:rsidR="00E972C8" w:rsidRPr="00272A71" w:rsidRDefault="00D86703" w:rsidP="00BF1D83">
      <w:pPr>
        <w:ind w:left="-567"/>
        <w:jc w:val="center"/>
        <w:rPr>
          <w:rFonts w:cstheme="minorHAnsi"/>
          <w:color w:val="215868" w:themeColor="accent5" w:themeShade="80"/>
          <w:sz w:val="28"/>
          <w:szCs w:val="28"/>
        </w:rPr>
      </w:pPr>
      <w:r>
        <w:rPr>
          <w:rFonts w:cstheme="minorHAnsi"/>
          <w:noProof/>
          <w:color w:val="215868" w:themeColor="accent5" w:themeShade="80"/>
          <w:sz w:val="28"/>
          <w:szCs w:val="28"/>
          <w:lang w:eastAsia="es-CO"/>
        </w:rPr>
        <w:drawing>
          <wp:inline distT="0" distB="0" distL="0" distR="0" wp14:anchorId="2A74259C">
            <wp:extent cx="5793638" cy="3662082"/>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398" cy="3680261"/>
                    </a:xfrm>
                    <a:prstGeom prst="rect">
                      <a:avLst/>
                    </a:prstGeom>
                    <a:noFill/>
                  </pic:spPr>
                </pic:pic>
              </a:graphicData>
            </a:graphic>
          </wp:inline>
        </w:drawing>
      </w:r>
    </w:p>
    <w:p w:rsidR="00D86703" w:rsidRDefault="00D86703" w:rsidP="00BF1D83">
      <w:pPr>
        <w:ind w:left="-567"/>
        <w:jc w:val="both"/>
        <w:rPr>
          <w:rFonts w:cstheme="minorHAnsi"/>
          <w:color w:val="215868" w:themeColor="accent5" w:themeShade="80"/>
          <w:sz w:val="28"/>
          <w:szCs w:val="28"/>
        </w:rPr>
      </w:pPr>
    </w:p>
    <w:p w:rsidR="00E972C8" w:rsidRPr="00272A71" w:rsidRDefault="00E972C8" w:rsidP="001B5238">
      <w:pPr>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A </w:t>
      </w:r>
      <w:r w:rsidR="00F504B4" w:rsidRPr="00272A71">
        <w:rPr>
          <w:rFonts w:cstheme="minorHAnsi"/>
          <w:color w:val="215868" w:themeColor="accent5" w:themeShade="80"/>
          <w:sz w:val="28"/>
          <w:szCs w:val="28"/>
        </w:rPr>
        <w:t>continuación,</w:t>
      </w:r>
      <w:r w:rsidRPr="00272A71">
        <w:rPr>
          <w:rFonts w:cstheme="minorHAnsi"/>
          <w:color w:val="215868" w:themeColor="accent5" w:themeShade="80"/>
          <w:sz w:val="28"/>
          <w:szCs w:val="28"/>
        </w:rPr>
        <w:t xml:space="preserve"> se describen</w:t>
      </w:r>
      <w:r w:rsidR="005C347A" w:rsidRPr="00272A71">
        <w:rPr>
          <w:rFonts w:cstheme="minorHAnsi"/>
          <w:color w:val="215868" w:themeColor="accent5" w:themeShade="80"/>
          <w:sz w:val="28"/>
          <w:szCs w:val="28"/>
        </w:rPr>
        <w:t xml:space="preserve"> </w:t>
      </w:r>
      <w:r w:rsidRPr="00272A71">
        <w:rPr>
          <w:rFonts w:cstheme="minorHAnsi"/>
          <w:color w:val="215868" w:themeColor="accent5" w:themeShade="80"/>
          <w:sz w:val="28"/>
          <w:szCs w:val="28"/>
        </w:rPr>
        <w:t>de manera resumida cada uno de los proyectos:</w:t>
      </w:r>
    </w:p>
    <w:p w:rsidR="00093E75" w:rsidRPr="00272A71" w:rsidRDefault="00E972C8" w:rsidP="001B5238">
      <w:pPr>
        <w:jc w:val="both"/>
        <w:rPr>
          <w:rFonts w:cstheme="minorHAnsi"/>
          <w:color w:val="215868" w:themeColor="accent5" w:themeShade="80"/>
          <w:sz w:val="28"/>
          <w:szCs w:val="28"/>
        </w:rPr>
      </w:pPr>
      <w:r w:rsidRPr="00505859">
        <w:rPr>
          <w:rFonts w:cstheme="minorHAnsi"/>
          <w:b/>
          <w:color w:val="215868" w:themeColor="accent5" w:themeShade="80"/>
          <w:sz w:val="28"/>
          <w:szCs w:val="28"/>
          <w:u w:val="single"/>
        </w:rPr>
        <w:t>Proyecto de inversión 0983: Capturar, integrar y disponer información geográfica y catastral para la toma de decisiones:</w:t>
      </w:r>
      <w:r w:rsidRPr="00272A71">
        <w:rPr>
          <w:rFonts w:cstheme="minorHAnsi"/>
          <w:color w:val="215868" w:themeColor="accent5" w:themeShade="80"/>
          <w:sz w:val="28"/>
          <w:szCs w:val="28"/>
        </w:rPr>
        <w:t xml:space="preserve"> Tiene como objetivo fortalecer la capacidad de capturar, integrar y disponer información geográfica y catastral de la ciudad de Bogotá D.C. que responda a las necesidades de información para la gestión de políticas públicas y fiscales de la ciudad, permitiendo mejorar la oferta de servicios al ciudadano y contribuyendo a la implementación de un Catastro Nacional con enfoque multipropósito. </w:t>
      </w:r>
    </w:p>
    <w:p w:rsidR="00D86703" w:rsidRDefault="00D86703" w:rsidP="00BF1D83">
      <w:pPr>
        <w:ind w:left="-567"/>
        <w:jc w:val="both"/>
        <w:rPr>
          <w:rFonts w:cstheme="minorHAnsi"/>
          <w:color w:val="215868" w:themeColor="accent5" w:themeShade="80"/>
          <w:sz w:val="28"/>
          <w:szCs w:val="28"/>
        </w:rPr>
      </w:pPr>
    </w:p>
    <w:p w:rsidR="00093E75" w:rsidRPr="00272A71" w:rsidRDefault="00E972C8" w:rsidP="001B5238">
      <w:pPr>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Los componentes de inversión asociados a este proyecto son: </w:t>
      </w:r>
    </w:p>
    <w:p w:rsidR="00093E75" w:rsidRPr="00272A71" w:rsidRDefault="00E972C8" w:rsidP="001B5238">
      <w:pPr>
        <w:pStyle w:val="Prrafodelista"/>
        <w:numPr>
          <w:ilvl w:val="0"/>
          <w:numId w:val="1"/>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Gestión de la Información catastral con fines multipropósito</w:t>
      </w:r>
    </w:p>
    <w:p w:rsidR="00093E75" w:rsidRPr="00272A71" w:rsidRDefault="00E972C8" w:rsidP="001B5238">
      <w:pPr>
        <w:pStyle w:val="Prrafodelista"/>
        <w:numPr>
          <w:ilvl w:val="0"/>
          <w:numId w:val="1"/>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Información Geoespacial al servicio del Ciudadano</w:t>
      </w:r>
    </w:p>
    <w:p w:rsidR="00093E75" w:rsidRPr="00272A71" w:rsidRDefault="00E972C8" w:rsidP="001B5238">
      <w:pPr>
        <w:pStyle w:val="Prrafodelista"/>
        <w:numPr>
          <w:ilvl w:val="0"/>
          <w:numId w:val="1"/>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Fortalecimiento tecnológico</w:t>
      </w:r>
    </w:p>
    <w:p w:rsidR="00093E75" w:rsidRPr="00272A71" w:rsidRDefault="00E972C8" w:rsidP="001B5238">
      <w:pPr>
        <w:pStyle w:val="Prrafodelista"/>
        <w:numPr>
          <w:ilvl w:val="0"/>
          <w:numId w:val="1"/>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Fortalecimiento de la gestión comercial en la UAECD</w:t>
      </w:r>
    </w:p>
    <w:p w:rsidR="00E972C8" w:rsidRPr="00272A71" w:rsidRDefault="00093E75" w:rsidP="001B5238">
      <w:pPr>
        <w:pStyle w:val="Prrafodelista"/>
        <w:numPr>
          <w:ilvl w:val="0"/>
          <w:numId w:val="1"/>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C</w:t>
      </w:r>
      <w:r w:rsidR="00716974" w:rsidRPr="00272A71">
        <w:rPr>
          <w:rFonts w:cstheme="minorHAnsi"/>
          <w:color w:val="215868" w:themeColor="accent5" w:themeShade="80"/>
          <w:sz w:val="28"/>
          <w:szCs w:val="28"/>
        </w:rPr>
        <w:t>atastro Bogotá comparte su experiencia contribuyendo en la implementación del catastro nacional con enfoque multipropósito.</w:t>
      </w:r>
    </w:p>
    <w:p w:rsidR="00D86703" w:rsidRPr="00D86703" w:rsidRDefault="00D86703" w:rsidP="001B5238">
      <w:pPr>
        <w:spacing w:after="0" w:line="240" w:lineRule="auto"/>
        <w:jc w:val="both"/>
        <w:rPr>
          <w:rFonts w:cstheme="minorHAnsi"/>
          <w:b/>
          <w:color w:val="215868" w:themeColor="accent5" w:themeShade="80"/>
          <w:sz w:val="16"/>
          <w:szCs w:val="16"/>
          <w:u w:val="single"/>
        </w:rPr>
      </w:pPr>
    </w:p>
    <w:p w:rsidR="00093E75" w:rsidRPr="00272A71" w:rsidRDefault="004421F5" w:rsidP="001B5238">
      <w:pPr>
        <w:jc w:val="both"/>
        <w:rPr>
          <w:rFonts w:cstheme="minorHAnsi"/>
          <w:color w:val="215868" w:themeColor="accent5" w:themeShade="80"/>
          <w:sz w:val="28"/>
          <w:szCs w:val="28"/>
        </w:rPr>
      </w:pPr>
      <w:r w:rsidRPr="00505859">
        <w:rPr>
          <w:rFonts w:cstheme="minorHAnsi"/>
          <w:b/>
          <w:color w:val="215868" w:themeColor="accent5" w:themeShade="80"/>
          <w:sz w:val="28"/>
          <w:szCs w:val="28"/>
          <w:u w:val="single"/>
        </w:rPr>
        <w:t>Proyecto de inversión 1180 - Afianzar una gestión pública efectiva:</w:t>
      </w:r>
      <w:r w:rsidRPr="00272A71">
        <w:rPr>
          <w:rFonts w:cstheme="minorHAnsi"/>
          <w:color w:val="215868" w:themeColor="accent5" w:themeShade="80"/>
          <w:sz w:val="28"/>
          <w:szCs w:val="28"/>
          <w:u w:val="single"/>
        </w:rPr>
        <w:t xml:space="preserve"> </w:t>
      </w:r>
      <w:r w:rsidRPr="00272A71">
        <w:rPr>
          <w:rFonts w:cstheme="minorHAnsi"/>
          <w:color w:val="215868" w:themeColor="accent5" w:themeShade="80"/>
          <w:sz w:val="28"/>
          <w:szCs w:val="28"/>
        </w:rPr>
        <w:t xml:space="preserve">Tiene como objetivo fortalecer la gestión administrativa de la Unidad </w:t>
      </w:r>
      <w:r w:rsidR="00093E75" w:rsidRPr="00272A71">
        <w:rPr>
          <w:rFonts w:cstheme="minorHAnsi"/>
          <w:color w:val="215868" w:themeColor="accent5" w:themeShade="80"/>
          <w:sz w:val="28"/>
          <w:szCs w:val="28"/>
        </w:rPr>
        <w:t xml:space="preserve">con el fin de aumentar los niveles de efectividad en la gestión, con mayor y mejor servicio al ciudadano, lo cual se desarrolla </w:t>
      </w:r>
      <w:r w:rsidRPr="00272A71">
        <w:rPr>
          <w:rFonts w:cstheme="minorHAnsi"/>
          <w:color w:val="215868" w:themeColor="accent5" w:themeShade="80"/>
          <w:sz w:val="28"/>
          <w:szCs w:val="28"/>
        </w:rPr>
        <w:t xml:space="preserve">a través de los </w:t>
      </w:r>
      <w:r w:rsidR="00093E75" w:rsidRPr="00272A71">
        <w:rPr>
          <w:rFonts w:cstheme="minorHAnsi"/>
          <w:color w:val="215868" w:themeColor="accent5" w:themeShade="80"/>
          <w:sz w:val="28"/>
          <w:szCs w:val="28"/>
        </w:rPr>
        <w:t>siguientes componentes de inversión:</w:t>
      </w:r>
    </w:p>
    <w:p w:rsidR="00093E75" w:rsidRPr="00272A71" w:rsidRDefault="004421F5" w:rsidP="001B5238">
      <w:pPr>
        <w:pStyle w:val="Prrafodelista"/>
        <w:numPr>
          <w:ilvl w:val="0"/>
          <w:numId w:val="2"/>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Gestión Integral y Mejoramiento de procesos</w:t>
      </w:r>
    </w:p>
    <w:p w:rsidR="00093E75" w:rsidRPr="00272A71" w:rsidRDefault="004421F5" w:rsidP="001B5238">
      <w:pPr>
        <w:pStyle w:val="Prrafodelista"/>
        <w:numPr>
          <w:ilvl w:val="0"/>
          <w:numId w:val="2"/>
        </w:numPr>
        <w:ind w:left="0" w:firstLine="0"/>
        <w:jc w:val="both"/>
        <w:rPr>
          <w:rFonts w:cstheme="minorHAnsi"/>
          <w:color w:val="215868" w:themeColor="accent5" w:themeShade="80"/>
          <w:sz w:val="28"/>
          <w:szCs w:val="28"/>
        </w:rPr>
      </w:pPr>
      <w:r w:rsidRPr="00272A71">
        <w:rPr>
          <w:rFonts w:cstheme="minorHAnsi"/>
          <w:color w:val="215868" w:themeColor="accent5" w:themeShade="80"/>
          <w:sz w:val="28"/>
          <w:szCs w:val="28"/>
        </w:rPr>
        <w:t>Atención y Servicio al Ciudadano</w:t>
      </w:r>
    </w:p>
    <w:p w:rsidR="004421F5" w:rsidRPr="00272A71" w:rsidRDefault="004421F5" w:rsidP="00BF1D83">
      <w:pPr>
        <w:ind w:left="-567"/>
        <w:jc w:val="center"/>
        <w:rPr>
          <w:rFonts w:cstheme="minorHAnsi"/>
          <w:color w:val="215868" w:themeColor="accent5" w:themeShade="80"/>
          <w:sz w:val="28"/>
          <w:szCs w:val="28"/>
        </w:rPr>
      </w:pPr>
    </w:p>
    <w:p w:rsidR="0034326C" w:rsidRPr="00272A71" w:rsidRDefault="0034326C" w:rsidP="00BF1D83">
      <w:pPr>
        <w:ind w:left="-567"/>
        <w:rPr>
          <w:rFonts w:cstheme="minorHAnsi"/>
          <w:color w:val="215868" w:themeColor="accent5" w:themeShade="80"/>
          <w:sz w:val="28"/>
          <w:szCs w:val="28"/>
          <w:u w:val="single"/>
        </w:rPr>
      </w:pPr>
      <w:r w:rsidRPr="00272A71">
        <w:rPr>
          <w:rFonts w:cstheme="minorHAnsi"/>
          <w:color w:val="215868" w:themeColor="accent5" w:themeShade="80"/>
          <w:sz w:val="28"/>
          <w:szCs w:val="28"/>
          <w:u w:val="single"/>
        </w:rPr>
        <w:br w:type="page"/>
      </w:r>
    </w:p>
    <w:p w:rsidR="0034326C" w:rsidRPr="00272A71" w:rsidRDefault="0034326C" w:rsidP="009E2852">
      <w:pPr>
        <w:pStyle w:val="Ttulo"/>
        <w:numPr>
          <w:ilvl w:val="0"/>
          <w:numId w:val="4"/>
        </w:numPr>
        <w:ind w:left="709"/>
        <w:jc w:val="both"/>
        <w:outlineLvl w:val="0"/>
        <w:rPr>
          <w:rFonts w:asciiTheme="minorHAnsi" w:hAnsiTheme="minorHAnsi" w:cstheme="minorHAnsi"/>
          <w:color w:val="215868" w:themeColor="accent5" w:themeShade="80"/>
        </w:rPr>
      </w:pPr>
      <w:bookmarkStart w:id="3" w:name="_Toc30767281"/>
      <w:r w:rsidRPr="00272A71">
        <w:rPr>
          <w:rFonts w:asciiTheme="minorHAnsi" w:hAnsiTheme="minorHAnsi" w:cstheme="minorHAnsi"/>
          <w:color w:val="215868" w:themeColor="accent5" w:themeShade="80"/>
        </w:rPr>
        <w:t>INFORME DE GESTIÓN PROYECTOS DE INVERSIÓN</w:t>
      </w:r>
      <w:r w:rsidR="00836DCB" w:rsidRPr="00272A71">
        <w:rPr>
          <w:rFonts w:asciiTheme="minorHAnsi" w:hAnsiTheme="minorHAnsi" w:cstheme="minorHAnsi"/>
          <w:color w:val="215868" w:themeColor="accent5" w:themeShade="80"/>
        </w:rPr>
        <w:t xml:space="preserve"> 201</w:t>
      </w:r>
      <w:r w:rsidR="003222D3">
        <w:rPr>
          <w:rFonts w:asciiTheme="minorHAnsi" w:hAnsiTheme="minorHAnsi" w:cstheme="minorHAnsi"/>
          <w:color w:val="215868" w:themeColor="accent5" w:themeShade="80"/>
        </w:rPr>
        <w:t>9</w:t>
      </w:r>
      <w:bookmarkEnd w:id="3"/>
    </w:p>
    <w:p w:rsidR="00A43EB9" w:rsidRPr="00505859" w:rsidRDefault="00505859" w:rsidP="009E2852">
      <w:pPr>
        <w:pStyle w:val="Prrafodelista"/>
        <w:numPr>
          <w:ilvl w:val="1"/>
          <w:numId w:val="4"/>
        </w:numPr>
        <w:ind w:left="709"/>
        <w:jc w:val="both"/>
        <w:rPr>
          <w:rFonts w:cstheme="minorHAnsi"/>
          <w:b/>
          <w:color w:val="215868" w:themeColor="accent5" w:themeShade="80"/>
          <w:sz w:val="28"/>
          <w:szCs w:val="28"/>
          <w:u w:val="single"/>
        </w:rPr>
      </w:pPr>
      <w:r w:rsidRPr="00505859">
        <w:rPr>
          <w:rFonts w:cstheme="minorHAnsi"/>
          <w:b/>
          <w:color w:val="215868" w:themeColor="accent5" w:themeShade="80"/>
          <w:sz w:val="28"/>
          <w:szCs w:val="28"/>
          <w:u w:val="single"/>
        </w:rPr>
        <w:t>PROYECTO DE INVERSIÓN 0983: CAPTURAR, INTEGRAR Y DISPONER INFORMACIÓN GEOGRÁFICA Y CATASTRAL PARA LA TOMA DE DECISIONES.</w:t>
      </w:r>
    </w:p>
    <w:p w:rsidR="0032350F" w:rsidRPr="00272A71" w:rsidRDefault="0032350F" w:rsidP="001B5238">
      <w:pPr>
        <w:rPr>
          <w:rFonts w:cstheme="minorHAnsi"/>
          <w:color w:val="215868" w:themeColor="accent5" w:themeShade="80"/>
          <w:sz w:val="28"/>
          <w:szCs w:val="28"/>
        </w:rPr>
      </w:pPr>
      <w:r w:rsidRPr="00272A71">
        <w:rPr>
          <w:rFonts w:cstheme="minorHAnsi"/>
          <w:color w:val="215868" w:themeColor="accent5" w:themeShade="80"/>
          <w:sz w:val="28"/>
          <w:szCs w:val="28"/>
        </w:rPr>
        <w:t xml:space="preserve">La gestión desarrollada por la entidad a través de la ejecución de este </w:t>
      </w:r>
      <w:r w:rsidR="00272A71" w:rsidRPr="00272A71">
        <w:rPr>
          <w:rFonts w:cstheme="minorHAnsi"/>
          <w:color w:val="215868" w:themeColor="accent5" w:themeShade="80"/>
          <w:sz w:val="28"/>
          <w:szCs w:val="28"/>
        </w:rPr>
        <w:t>proyecto</w:t>
      </w:r>
      <w:r w:rsidRPr="00272A71">
        <w:rPr>
          <w:rFonts w:cstheme="minorHAnsi"/>
          <w:color w:val="215868" w:themeColor="accent5" w:themeShade="80"/>
          <w:sz w:val="28"/>
          <w:szCs w:val="28"/>
        </w:rPr>
        <w:t xml:space="preserve"> se relaciona para cada uno de sus componentes, así:</w:t>
      </w:r>
    </w:p>
    <w:p w:rsidR="00A43EB9" w:rsidRPr="00505859" w:rsidRDefault="00A43EB9" w:rsidP="009E2852">
      <w:pPr>
        <w:pStyle w:val="Prrafodelista"/>
        <w:numPr>
          <w:ilvl w:val="2"/>
          <w:numId w:val="4"/>
        </w:numPr>
        <w:ind w:left="709" w:hanging="709"/>
        <w:jc w:val="both"/>
        <w:rPr>
          <w:rFonts w:cstheme="minorHAnsi"/>
          <w:b/>
          <w:color w:val="215868" w:themeColor="accent5" w:themeShade="80"/>
          <w:sz w:val="28"/>
          <w:szCs w:val="28"/>
        </w:rPr>
      </w:pPr>
      <w:r w:rsidRPr="00505859">
        <w:rPr>
          <w:rFonts w:cstheme="minorHAnsi"/>
          <w:b/>
          <w:color w:val="215868" w:themeColor="accent5" w:themeShade="80"/>
          <w:sz w:val="28"/>
          <w:szCs w:val="28"/>
        </w:rPr>
        <w:t>Gestión de la información catastral con fines multipropósito.</w:t>
      </w:r>
    </w:p>
    <w:p w:rsidR="00482949" w:rsidRDefault="00A43EB9" w:rsidP="001B5238">
      <w:pPr>
        <w:jc w:val="both"/>
        <w:rPr>
          <w:rFonts w:cstheme="minorHAnsi"/>
          <w:color w:val="215868" w:themeColor="accent5" w:themeShade="80"/>
          <w:sz w:val="28"/>
          <w:szCs w:val="28"/>
        </w:rPr>
      </w:pPr>
      <w:r w:rsidRPr="00272A71">
        <w:rPr>
          <w:rFonts w:cstheme="minorHAnsi"/>
          <w:color w:val="215868" w:themeColor="accent5" w:themeShade="80"/>
          <w:sz w:val="28"/>
          <w:szCs w:val="28"/>
        </w:rPr>
        <w:t>Este componente de inversión contempla la actualización permanente de los predios de la ciudad (dado el impacto positivo que ha tenido en los últimos años en las finanzas del Distrito y como herramienta e insumo para la adecuada planeación de la ciudad y la toma de decisiones de política pública) en el marco de lo establecido en la Resolución 1008 de 2012</w:t>
      </w:r>
      <w:r w:rsidR="00093E75" w:rsidRPr="00272A71">
        <w:rPr>
          <w:rStyle w:val="Refdenotaalpie"/>
          <w:rFonts w:cstheme="minorHAnsi"/>
          <w:color w:val="215868" w:themeColor="accent5" w:themeShade="80"/>
          <w:sz w:val="28"/>
          <w:szCs w:val="28"/>
        </w:rPr>
        <w:footnoteReference w:id="3"/>
      </w:r>
      <w:r w:rsidR="00093E75" w:rsidRPr="00272A71">
        <w:rPr>
          <w:rFonts w:cstheme="minorHAnsi"/>
          <w:color w:val="215868" w:themeColor="accent5" w:themeShade="80"/>
          <w:sz w:val="28"/>
          <w:szCs w:val="28"/>
        </w:rPr>
        <w:t xml:space="preserve"> del IGAC</w:t>
      </w:r>
      <w:r w:rsidRPr="00272A71">
        <w:rPr>
          <w:rFonts w:cstheme="minorHAnsi"/>
          <w:color w:val="215868" w:themeColor="accent5" w:themeShade="80"/>
          <w:sz w:val="28"/>
          <w:szCs w:val="28"/>
        </w:rPr>
        <w:t xml:space="preserve">. Así mismo, </w:t>
      </w:r>
      <w:r w:rsidR="00797D7D">
        <w:rPr>
          <w:rFonts w:cstheme="minorHAnsi"/>
          <w:color w:val="215868" w:themeColor="accent5" w:themeShade="80"/>
          <w:sz w:val="28"/>
          <w:szCs w:val="28"/>
        </w:rPr>
        <w:t xml:space="preserve">el trabajo conjunto en </w:t>
      </w:r>
      <w:r w:rsidRPr="00272A71">
        <w:rPr>
          <w:rFonts w:cstheme="minorHAnsi"/>
          <w:color w:val="215868" w:themeColor="accent5" w:themeShade="80"/>
          <w:sz w:val="28"/>
          <w:szCs w:val="28"/>
        </w:rPr>
        <w:t xml:space="preserve">la administración distrital </w:t>
      </w:r>
      <w:r w:rsidR="00797D7D">
        <w:rPr>
          <w:rFonts w:cstheme="minorHAnsi"/>
          <w:color w:val="215868" w:themeColor="accent5" w:themeShade="80"/>
          <w:sz w:val="28"/>
          <w:szCs w:val="28"/>
        </w:rPr>
        <w:t xml:space="preserve">como insumo para </w:t>
      </w:r>
      <w:r w:rsidRPr="00272A71">
        <w:rPr>
          <w:rFonts w:cstheme="minorHAnsi"/>
          <w:color w:val="215868" w:themeColor="accent5" w:themeShade="80"/>
          <w:sz w:val="28"/>
          <w:szCs w:val="28"/>
        </w:rPr>
        <w:t>la modernización tributaria</w:t>
      </w:r>
      <w:r w:rsidR="00797D7D">
        <w:rPr>
          <w:rFonts w:cstheme="minorHAnsi"/>
          <w:color w:val="215868" w:themeColor="accent5" w:themeShade="80"/>
          <w:sz w:val="28"/>
          <w:szCs w:val="28"/>
        </w:rPr>
        <w:t xml:space="preserve">, con el fin de </w:t>
      </w:r>
      <w:r w:rsidRPr="00272A71">
        <w:rPr>
          <w:rFonts w:cstheme="minorHAnsi"/>
          <w:color w:val="215868" w:themeColor="accent5" w:themeShade="80"/>
          <w:sz w:val="28"/>
          <w:szCs w:val="28"/>
        </w:rPr>
        <w:t>aprovechar el resultado de la actualización permanente sin afectar a los ciudadanos con las tarifas del impuesto predial.</w:t>
      </w:r>
    </w:p>
    <w:p w:rsidR="00665E49" w:rsidRDefault="00482949" w:rsidP="001B5238">
      <w:pPr>
        <w:jc w:val="both"/>
        <w:rPr>
          <w:rFonts w:cstheme="minorHAnsi"/>
          <w:color w:val="215868" w:themeColor="accent5" w:themeShade="80"/>
          <w:sz w:val="28"/>
          <w:szCs w:val="28"/>
        </w:rPr>
      </w:pPr>
      <w:r w:rsidRPr="00482949">
        <w:rPr>
          <w:rFonts w:cstheme="minorHAnsi"/>
          <w:color w:val="215868" w:themeColor="accent5" w:themeShade="80"/>
          <w:sz w:val="28"/>
          <w:szCs w:val="28"/>
        </w:rPr>
        <w:t>Durante el 201</w:t>
      </w:r>
      <w:r w:rsidR="00665E49">
        <w:rPr>
          <w:rFonts w:cstheme="minorHAnsi"/>
          <w:color w:val="215868" w:themeColor="accent5" w:themeShade="80"/>
          <w:sz w:val="28"/>
          <w:szCs w:val="28"/>
        </w:rPr>
        <w:t>9</w:t>
      </w:r>
      <w:r w:rsidRPr="00482949">
        <w:rPr>
          <w:rFonts w:cstheme="minorHAnsi"/>
          <w:color w:val="215868" w:themeColor="accent5" w:themeShade="80"/>
          <w:sz w:val="28"/>
          <w:szCs w:val="28"/>
        </w:rPr>
        <w:t xml:space="preserve">, se llevó a cabo la actualización de la formación catastral para la totalidad del área urbana de la ciudad conforme lo establece la reglamentación técnica catastral. </w:t>
      </w:r>
      <w:r w:rsidR="00665E49" w:rsidRPr="00665E49">
        <w:rPr>
          <w:rFonts w:cstheme="minorHAnsi"/>
          <w:color w:val="215868" w:themeColor="accent5" w:themeShade="80"/>
          <w:sz w:val="28"/>
          <w:szCs w:val="28"/>
        </w:rPr>
        <w:t xml:space="preserve">Se aumentó en 252.648 el número de predios actualizados, pasando de 2.429.238 predios actualizados en la vigencia 2015 a 2.681.886 predios para la vigencia 2020, que representa la totalidad del área urbana de la ciudad conforme lo establece la reglamentación técnica catastral.  </w:t>
      </w:r>
    </w:p>
    <w:p w:rsidR="00665E49" w:rsidRDefault="00665E49">
      <w:pPr>
        <w:rPr>
          <w:rFonts w:cstheme="minorHAnsi"/>
          <w:color w:val="215868" w:themeColor="accent5" w:themeShade="80"/>
          <w:sz w:val="28"/>
          <w:szCs w:val="28"/>
        </w:rPr>
      </w:pPr>
      <w:r>
        <w:rPr>
          <w:rFonts w:cstheme="minorHAnsi"/>
          <w:color w:val="215868" w:themeColor="accent5" w:themeShade="80"/>
          <w:sz w:val="28"/>
          <w:szCs w:val="28"/>
        </w:rPr>
        <w:br w:type="page"/>
      </w:r>
    </w:p>
    <w:p w:rsidR="001B5238" w:rsidRPr="00D46AF9" w:rsidRDefault="00665E49" w:rsidP="001B5238">
      <w:pPr>
        <w:spacing w:after="0"/>
        <w:jc w:val="center"/>
        <w:rPr>
          <w:rFonts w:cstheme="minorHAnsi"/>
          <w:i/>
          <w:color w:val="215868" w:themeColor="accent5" w:themeShade="80"/>
          <w:sz w:val="18"/>
          <w:szCs w:val="18"/>
        </w:rPr>
      </w:pPr>
      <w:r w:rsidRPr="00D46AF9">
        <w:rPr>
          <w:i/>
          <w:noProof/>
          <w:color w:val="FFFFFF" w:themeColor="background1"/>
          <w:sz w:val="18"/>
          <w:szCs w:val="18"/>
          <w:lang w:val="es-ES" w:eastAsia="es-ES"/>
        </w:rPr>
        <w:drawing>
          <wp:anchor distT="0" distB="0" distL="114300" distR="114300" simplePos="0" relativeHeight="251660288" behindDoc="0" locked="0" layoutInCell="1" allowOverlap="1" wp14:anchorId="50F1C87F">
            <wp:simplePos x="0" y="0"/>
            <wp:positionH relativeFrom="margin">
              <wp:align>left</wp:align>
            </wp:positionH>
            <wp:positionV relativeFrom="margin">
              <wp:align>top</wp:align>
            </wp:positionV>
            <wp:extent cx="5866765" cy="2273935"/>
            <wp:effectExtent l="0" t="0" r="635" b="12065"/>
            <wp:wrapSquare wrapText="bothSides"/>
            <wp:docPr id="81" name="Gráfico 81">
              <a:extLst xmlns:a="http://schemas.openxmlformats.org/drawingml/2006/main">
                <a:ext uri="{FF2B5EF4-FFF2-40B4-BE49-F238E27FC236}">
                  <a16:creationId xmlns:a16="http://schemas.microsoft.com/office/drawing/2014/main" id="{19411EA0-BB70-41D1-89D3-CDE12A7621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Pr="00D46AF9">
        <w:rPr>
          <w:rFonts w:cstheme="minorHAnsi"/>
          <w:i/>
          <w:color w:val="215868" w:themeColor="accent5" w:themeShade="80"/>
          <w:sz w:val="18"/>
          <w:szCs w:val="18"/>
        </w:rPr>
        <w:t>Gráfico. Total predios en la base catastral por vigencia 2010-2020</w:t>
      </w:r>
    </w:p>
    <w:p w:rsidR="00665E49" w:rsidRPr="00D46AF9" w:rsidRDefault="00665E49" w:rsidP="001B5238">
      <w:pPr>
        <w:spacing w:after="0"/>
        <w:jc w:val="center"/>
        <w:rPr>
          <w:rFonts w:cstheme="minorHAnsi"/>
          <w:i/>
          <w:color w:val="215868" w:themeColor="accent5" w:themeShade="80"/>
          <w:sz w:val="18"/>
          <w:szCs w:val="18"/>
        </w:rPr>
      </w:pPr>
      <w:r w:rsidRPr="00D46AF9">
        <w:rPr>
          <w:rFonts w:cstheme="minorHAnsi"/>
          <w:i/>
          <w:color w:val="215868" w:themeColor="accent5" w:themeShade="80"/>
          <w:sz w:val="18"/>
          <w:szCs w:val="18"/>
        </w:rPr>
        <w:t>Fuente: UAECD. Sistema de Integrado de Información Catastral – SIIC.</w:t>
      </w:r>
    </w:p>
    <w:p w:rsidR="003F3A51" w:rsidRDefault="003F3A51" w:rsidP="00482949">
      <w:pPr>
        <w:spacing w:after="0" w:line="240" w:lineRule="auto"/>
        <w:jc w:val="both"/>
        <w:rPr>
          <w:rFonts w:cstheme="minorHAnsi"/>
          <w:color w:val="215868" w:themeColor="accent5" w:themeShade="80"/>
          <w:sz w:val="28"/>
          <w:szCs w:val="28"/>
        </w:rPr>
      </w:pPr>
    </w:p>
    <w:p w:rsidR="00482949" w:rsidRDefault="00665E49" w:rsidP="001B5238">
      <w:pPr>
        <w:spacing w:after="0" w:line="240" w:lineRule="auto"/>
        <w:jc w:val="both"/>
        <w:rPr>
          <w:rFonts w:cstheme="minorHAnsi"/>
          <w:color w:val="215868" w:themeColor="accent5" w:themeShade="80"/>
          <w:sz w:val="28"/>
          <w:szCs w:val="28"/>
        </w:rPr>
      </w:pPr>
      <w:r w:rsidRPr="00665E49">
        <w:rPr>
          <w:rFonts w:cstheme="minorHAnsi"/>
          <w:color w:val="215868" w:themeColor="accent5" w:themeShade="80"/>
          <w:sz w:val="28"/>
          <w:szCs w:val="28"/>
        </w:rPr>
        <w:t>El total de área construida para la vigencia 2020 es de 292 millones de metros cuadrados, con un incremento neto de 22,2 millones de metros cuadrados respecto de la vigencia 2015, lo cual representa una variación del 8,2%.</w:t>
      </w:r>
    </w:p>
    <w:p w:rsidR="003F3A51" w:rsidRDefault="003F3A51" w:rsidP="003F3A51">
      <w:pPr>
        <w:spacing w:after="0" w:line="240" w:lineRule="auto"/>
        <w:ind w:left="-567"/>
        <w:jc w:val="both"/>
        <w:rPr>
          <w:rFonts w:cstheme="minorHAnsi"/>
          <w:color w:val="215868" w:themeColor="accent5" w:themeShade="80"/>
          <w:sz w:val="28"/>
          <w:szCs w:val="28"/>
        </w:rPr>
      </w:pPr>
    </w:p>
    <w:tbl>
      <w:tblPr>
        <w:tblStyle w:val="Tablaconcuadrcula5oscura-nfasis32"/>
        <w:tblW w:w="9389" w:type="dxa"/>
        <w:tblInd w:w="-5" w:type="dxa"/>
        <w:tblLook w:val="0600" w:firstRow="0" w:lastRow="0" w:firstColumn="0" w:lastColumn="0" w:noHBand="1" w:noVBand="1"/>
      </w:tblPr>
      <w:tblGrid>
        <w:gridCol w:w="1374"/>
        <w:gridCol w:w="2165"/>
        <w:gridCol w:w="2047"/>
        <w:gridCol w:w="2113"/>
        <w:gridCol w:w="1690"/>
      </w:tblGrid>
      <w:tr w:rsidR="003F3A51" w:rsidRPr="000C24D2" w:rsidTr="001B5238">
        <w:trPr>
          <w:trHeight w:val="814"/>
        </w:trPr>
        <w:tc>
          <w:tcPr>
            <w:tcW w:w="1374" w:type="dxa"/>
            <w:shd w:val="clear" w:color="auto" w:fill="0070C0"/>
            <w:hideMark/>
          </w:tcPr>
          <w:p w:rsidR="003F3A51" w:rsidRPr="000C24D2" w:rsidRDefault="003F3A51" w:rsidP="003F3A51">
            <w:pPr>
              <w:jc w:val="center"/>
              <w:rPr>
                <w:rFonts w:eastAsia="Times New Roman" w:cstheme="minorHAnsi"/>
                <w:b/>
                <w:bCs/>
                <w:color w:val="FFFFFF"/>
                <w:sz w:val="20"/>
                <w:szCs w:val="20"/>
                <w:lang w:eastAsia="es-CO"/>
              </w:rPr>
            </w:pPr>
            <w:r w:rsidRPr="000C24D2">
              <w:rPr>
                <w:rFonts w:eastAsia="Times New Roman" w:cstheme="minorHAnsi"/>
                <w:b/>
                <w:bCs/>
                <w:color w:val="FFFFFF"/>
                <w:sz w:val="20"/>
                <w:szCs w:val="20"/>
                <w:lang w:eastAsia="es-CO"/>
              </w:rPr>
              <w:t>VIGENCIA</w:t>
            </w:r>
          </w:p>
        </w:tc>
        <w:tc>
          <w:tcPr>
            <w:tcW w:w="2165" w:type="dxa"/>
            <w:shd w:val="clear" w:color="auto" w:fill="0070C0"/>
            <w:hideMark/>
          </w:tcPr>
          <w:p w:rsidR="003F3A51" w:rsidRPr="000C24D2" w:rsidRDefault="003F3A51" w:rsidP="003F3A51">
            <w:pPr>
              <w:jc w:val="center"/>
              <w:rPr>
                <w:rFonts w:eastAsia="Times New Roman" w:cstheme="minorHAnsi"/>
                <w:b/>
                <w:bCs/>
                <w:color w:val="FFFFFF"/>
                <w:sz w:val="20"/>
                <w:szCs w:val="20"/>
                <w:lang w:eastAsia="es-CO"/>
              </w:rPr>
            </w:pPr>
            <w:r w:rsidRPr="000C24D2">
              <w:rPr>
                <w:rFonts w:eastAsia="Times New Roman" w:cstheme="minorHAnsi"/>
                <w:b/>
                <w:bCs/>
                <w:color w:val="FFFFFF"/>
                <w:sz w:val="20"/>
                <w:szCs w:val="20"/>
                <w:lang w:eastAsia="es-CO"/>
              </w:rPr>
              <w:t xml:space="preserve">ÁREA TOTAL CONSTRUIDA </w:t>
            </w:r>
            <w:r w:rsidRPr="000C24D2">
              <w:rPr>
                <w:rFonts w:eastAsia="Times New Roman" w:cstheme="minorHAnsi"/>
                <w:b/>
                <w:bCs/>
                <w:color w:val="FFFFFF"/>
                <w:sz w:val="20"/>
                <w:szCs w:val="20"/>
                <w:lang w:eastAsia="es-CO"/>
              </w:rPr>
              <w:br/>
              <w:t>(METROS CUADRADOS)</w:t>
            </w:r>
          </w:p>
        </w:tc>
        <w:tc>
          <w:tcPr>
            <w:tcW w:w="2047" w:type="dxa"/>
            <w:shd w:val="clear" w:color="auto" w:fill="0070C0"/>
            <w:hideMark/>
          </w:tcPr>
          <w:p w:rsidR="003F3A51" w:rsidRPr="000C24D2" w:rsidRDefault="003F3A51" w:rsidP="003F3A51">
            <w:pPr>
              <w:jc w:val="center"/>
              <w:rPr>
                <w:rFonts w:eastAsia="Times New Roman" w:cstheme="minorHAnsi"/>
                <w:b/>
                <w:bCs/>
                <w:color w:val="FFFFFF"/>
                <w:sz w:val="20"/>
                <w:szCs w:val="20"/>
                <w:lang w:eastAsia="es-CO"/>
              </w:rPr>
            </w:pPr>
            <w:r w:rsidRPr="000C24D2">
              <w:rPr>
                <w:rFonts w:eastAsia="Times New Roman" w:cstheme="minorHAnsi"/>
                <w:b/>
                <w:bCs/>
                <w:color w:val="FFFFFF"/>
                <w:sz w:val="20"/>
                <w:szCs w:val="20"/>
                <w:lang w:eastAsia="es-CO"/>
              </w:rPr>
              <w:t>NÚMERO DE PREDIOS</w:t>
            </w:r>
          </w:p>
        </w:tc>
        <w:tc>
          <w:tcPr>
            <w:tcW w:w="2113" w:type="dxa"/>
            <w:vMerge w:val="restart"/>
            <w:shd w:val="clear" w:color="auto" w:fill="0070C0"/>
            <w:hideMark/>
          </w:tcPr>
          <w:p w:rsidR="003F3A51" w:rsidRPr="000C24D2" w:rsidRDefault="003F3A51" w:rsidP="003F3A51">
            <w:pPr>
              <w:jc w:val="center"/>
              <w:rPr>
                <w:rFonts w:eastAsia="Times New Roman" w:cstheme="minorHAnsi"/>
                <w:b/>
                <w:bCs/>
                <w:color w:val="FFFFFF"/>
                <w:sz w:val="20"/>
                <w:szCs w:val="20"/>
                <w:lang w:eastAsia="es-CO"/>
              </w:rPr>
            </w:pPr>
            <w:r w:rsidRPr="000C24D2">
              <w:rPr>
                <w:rFonts w:eastAsia="Times New Roman" w:cstheme="minorHAnsi"/>
                <w:b/>
                <w:bCs/>
                <w:color w:val="FFFFFF"/>
                <w:sz w:val="20"/>
                <w:szCs w:val="20"/>
                <w:lang w:eastAsia="es-CO"/>
              </w:rPr>
              <w:t xml:space="preserve">DIFERENCIA ÁREA TOTAL CONSTRUIDA </w:t>
            </w:r>
            <w:r w:rsidRPr="000C24D2">
              <w:rPr>
                <w:rFonts w:eastAsia="Times New Roman" w:cstheme="minorHAnsi"/>
                <w:b/>
                <w:bCs/>
                <w:color w:val="FFFFFF"/>
                <w:sz w:val="20"/>
                <w:szCs w:val="20"/>
                <w:lang w:eastAsia="es-CO"/>
              </w:rPr>
              <w:br/>
              <w:t>(METROS CUADRADOS) VS. VIGENCIA ANTERIOR</w:t>
            </w:r>
          </w:p>
        </w:tc>
        <w:tc>
          <w:tcPr>
            <w:tcW w:w="1690" w:type="dxa"/>
            <w:vMerge w:val="restart"/>
            <w:shd w:val="clear" w:color="auto" w:fill="0070C0"/>
            <w:hideMark/>
          </w:tcPr>
          <w:p w:rsidR="003F3A51" w:rsidRPr="000C24D2" w:rsidRDefault="003F3A51" w:rsidP="003F3A51">
            <w:pPr>
              <w:jc w:val="center"/>
              <w:rPr>
                <w:rFonts w:eastAsia="Times New Roman" w:cstheme="minorHAnsi"/>
                <w:b/>
                <w:bCs/>
                <w:color w:val="FFFFFF"/>
                <w:sz w:val="20"/>
                <w:szCs w:val="20"/>
                <w:lang w:eastAsia="es-CO"/>
              </w:rPr>
            </w:pPr>
            <w:r w:rsidRPr="000C24D2">
              <w:rPr>
                <w:rFonts w:eastAsia="Times New Roman" w:cstheme="minorHAnsi"/>
                <w:b/>
                <w:bCs/>
                <w:color w:val="FFFFFF"/>
                <w:sz w:val="20"/>
                <w:szCs w:val="20"/>
                <w:lang w:eastAsia="es-CO"/>
              </w:rPr>
              <w:t>DIFERENCIA EN NÚMERO DE PREDIOS VS. VIGENCIA ANTERIOR</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2010</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235.220.343</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2.140.409</w:t>
            </w:r>
          </w:p>
        </w:tc>
        <w:tc>
          <w:tcPr>
            <w:tcW w:w="2113" w:type="dxa"/>
            <w:vMerge/>
            <w:hideMark/>
          </w:tcPr>
          <w:p w:rsidR="003F3A51" w:rsidRPr="000C24D2" w:rsidRDefault="003F3A51" w:rsidP="003F3A51">
            <w:pPr>
              <w:jc w:val="center"/>
              <w:rPr>
                <w:rFonts w:eastAsia="Times New Roman" w:cstheme="minorHAnsi"/>
                <w:b/>
                <w:bCs/>
                <w:color w:val="215868" w:themeColor="accent5" w:themeShade="80"/>
                <w:sz w:val="20"/>
                <w:szCs w:val="20"/>
                <w:lang w:eastAsia="es-CO"/>
              </w:rPr>
            </w:pPr>
          </w:p>
        </w:tc>
        <w:tc>
          <w:tcPr>
            <w:tcW w:w="1690" w:type="dxa"/>
            <w:vMerge/>
            <w:hideMark/>
          </w:tcPr>
          <w:p w:rsidR="003F3A51" w:rsidRPr="000C24D2" w:rsidRDefault="003F3A51" w:rsidP="003F3A51">
            <w:pPr>
              <w:jc w:val="center"/>
              <w:rPr>
                <w:rFonts w:eastAsia="Times New Roman" w:cstheme="minorHAnsi"/>
                <w:b/>
                <w:bCs/>
                <w:color w:val="215868" w:themeColor="accent5" w:themeShade="80"/>
                <w:sz w:val="20"/>
                <w:szCs w:val="20"/>
                <w:lang w:eastAsia="es-CO"/>
              </w:rPr>
            </w:pP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2011</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242.997.811</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2.213.981</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7.777.468</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73.572</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2012</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248.509.074</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2.269.252</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5.511.263</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55.271</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2013</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252.537.418</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2.326.968</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4.028.344</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57.716</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2014</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264.484.662</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2.384.390</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11.947.244</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57.422</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2015</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269.840.831</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2.429.238</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5.356.168</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44.848</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2016</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274.089.168</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2.481.706</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4.248.337</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52.468</w:t>
            </w:r>
          </w:p>
        </w:tc>
      </w:tr>
      <w:tr w:rsidR="003F3A51" w:rsidRPr="000C24D2" w:rsidTr="001B5238">
        <w:trPr>
          <w:trHeight w:val="237"/>
        </w:trPr>
        <w:tc>
          <w:tcPr>
            <w:tcW w:w="1374" w:type="dxa"/>
            <w:hideMark/>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2017</w:t>
            </w:r>
          </w:p>
        </w:tc>
        <w:tc>
          <w:tcPr>
            <w:tcW w:w="2165"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278.421.400</w:t>
            </w:r>
          </w:p>
        </w:tc>
        <w:tc>
          <w:tcPr>
            <w:tcW w:w="2047"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2.543.290</w:t>
            </w:r>
          </w:p>
        </w:tc>
        <w:tc>
          <w:tcPr>
            <w:tcW w:w="2113"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4.332.232</w:t>
            </w:r>
          </w:p>
        </w:tc>
        <w:tc>
          <w:tcPr>
            <w:tcW w:w="1690" w:type="dxa"/>
            <w:hideMark/>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61.584</w:t>
            </w:r>
          </w:p>
        </w:tc>
      </w:tr>
      <w:tr w:rsidR="003F3A51" w:rsidRPr="000C24D2" w:rsidTr="001B5238">
        <w:trPr>
          <w:trHeight w:val="237"/>
        </w:trPr>
        <w:tc>
          <w:tcPr>
            <w:tcW w:w="1374"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2018</w:t>
            </w:r>
          </w:p>
        </w:tc>
        <w:tc>
          <w:tcPr>
            <w:tcW w:w="2165"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283.240.678</w:t>
            </w:r>
          </w:p>
        </w:tc>
        <w:tc>
          <w:tcPr>
            <w:tcW w:w="2047"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2.587.226</w:t>
            </w:r>
          </w:p>
        </w:tc>
        <w:tc>
          <w:tcPr>
            <w:tcW w:w="2113"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4.819.278</w:t>
            </w:r>
          </w:p>
        </w:tc>
        <w:tc>
          <w:tcPr>
            <w:tcW w:w="1690"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43.936</w:t>
            </w:r>
          </w:p>
        </w:tc>
      </w:tr>
      <w:tr w:rsidR="003F3A51" w:rsidRPr="000C24D2" w:rsidTr="001B5238">
        <w:trPr>
          <w:trHeight w:val="237"/>
        </w:trPr>
        <w:tc>
          <w:tcPr>
            <w:tcW w:w="1374"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2019</w:t>
            </w:r>
          </w:p>
        </w:tc>
        <w:tc>
          <w:tcPr>
            <w:tcW w:w="2165"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287.325.405</w:t>
            </w:r>
          </w:p>
        </w:tc>
        <w:tc>
          <w:tcPr>
            <w:tcW w:w="2047"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2.643.666</w:t>
            </w:r>
          </w:p>
        </w:tc>
        <w:tc>
          <w:tcPr>
            <w:tcW w:w="2113"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4.084.727</w:t>
            </w:r>
          </w:p>
        </w:tc>
        <w:tc>
          <w:tcPr>
            <w:tcW w:w="1690" w:type="dxa"/>
          </w:tcPr>
          <w:p w:rsidR="003F3A51" w:rsidRPr="000C24D2" w:rsidRDefault="003F3A51" w:rsidP="003F3A51">
            <w:pPr>
              <w:jc w:val="center"/>
              <w:rPr>
                <w:rFonts w:eastAsia="Times New Roman" w:cstheme="minorHAnsi"/>
                <w:color w:val="215868" w:themeColor="accent5" w:themeShade="80"/>
                <w:sz w:val="20"/>
                <w:szCs w:val="20"/>
                <w:lang w:eastAsia="es-CO"/>
              </w:rPr>
            </w:pPr>
            <w:r w:rsidRPr="000C24D2">
              <w:rPr>
                <w:rFonts w:eastAsia="Times New Roman" w:cstheme="minorHAnsi"/>
                <w:color w:val="215868" w:themeColor="accent5" w:themeShade="80"/>
                <w:sz w:val="20"/>
                <w:szCs w:val="20"/>
                <w:lang w:eastAsia="es-CO"/>
              </w:rPr>
              <w:t>56.440</w:t>
            </w:r>
          </w:p>
        </w:tc>
      </w:tr>
      <w:tr w:rsidR="003F3A51" w:rsidRPr="000C24D2" w:rsidTr="001B5238">
        <w:trPr>
          <w:trHeight w:val="237"/>
        </w:trPr>
        <w:tc>
          <w:tcPr>
            <w:tcW w:w="1374"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2020</w:t>
            </w:r>
          </w:p>
        </w:tc>
        <w:tc>
          <w:tcPr>
            <w:tcW w:w="2165"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292.030.689</w:t>
            </w:r>
          </w:p>
        </w:tc>
        <w:tc>
          <w:tcPr>
            <w:tcW w:w="2047"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2.681.886</w:t>
            </w:r>
          </w:p>
        </w:tc>
        <w:tc>
          <w:tcPr>
            <w:tcW w:w="2113"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4.705.283</w:t>
            </w:r>
          </w:p>
        </w:tc>
        <w:tc>
          <w:tcPr>
            <w:tcW w:w="1690" w:type="dxa"/>
          </w:tcPr>
          <w:p w:rsidR="003F3A51" w:rsidRPr="000C24D2" w:rsidRDefault="003F3A51" w:rsidP="003F3A51">
            <w:pPr>
              <w:jc w:val="center"/>
              <w:rPr>
                <w:rFonts w:eastAsia="Times New Roman" w:cstheme="minorHAnsi"/>
                <w:bCs/>
                <w:color w:val="215868" w:themeColor="accent5" w:themeShade="80"/>
                <w:sz w:val="20"/>
                <w:szCs w:val="20"/>
                <w:lang w:eastAsia="es-CO"/>
              </w:rPr>
            </w:pPr>
            <w:r w:rsidRPr="000C24D2">
              <w:rPr>
                <w:rFonts w:eastAsia="Times New Roman" w:cstheme="minorHAnsi"/>
                <w:bCs/>
                <w:color w:val="215868" w:themeColor="accent5" w:themeShade="80"/>
                <w:sz w:val="20"/>
                <w:szCs w:val="20"/>
                <w:lang w:eastAsia="es-CO"/>
              </w:rPr>
              <w:t>38.220</w:t>
            </w:r>
          </w:p>
        </w:tc>
      </w:tr>
    </w:tbl>
    <w:p w:rsidR="0018557E" w:rsidRPr="00D46AF9" w:rsidRDefault="0018557E" w:rsidP="0018557E">
      <w:pPr>
        <w:spacing w:after="0" w:line="240" w:lineRule="auto"/>
        <w:jc w:val="center"/>
        <w:rPr>
          <w:rFonts w:cstheme="minorHAnsi"/>
          <w:i/>
          <w:color w:val="215868" w:themeColor="accent5" w:themeShade="80"/>
          <w:sz w:val="18"/>
          <w:szCs w:val="18"/>
        </w:rPr>
      </w:pPr>
      <w:r w:rsidRPr="00D46AF9">
        <w:rPr>
          <w:rFonts w:cstheme="minorHAnsi"/>
          <w:i/>
          <w:color w:val="215868" w:themeColor="accent5" w:themeShade="80"/>
          <w:sz w:val="18"/>
          <w:szCs w:val="18"/>
        </w:rPr>
        <w:t>Tabla. Variación de predios y área construida por vigencia</w:t>
      </w:r>
    </w:p>
    <w:p w:rsidR="003F3A51" w:rsidRPr="00D46AF9" w:rsidRDefault="0018557E" w:rsidP="0018557E">
      <w:pPr>
        <w:spacing w:after="0" w:line="240" w:lineRule="auto"/>
        <w:jc w:val="center"/>
        <w:rPr>
          <w:rFonts w:cstheme="minorHAnsi"/>
          <w:i/>
          <w:color w:val="215868" w:themeColor="accent5" w:themeShade="80"/>
          <w:sz w:val="18"/>
          <w:szCs w:val="18"/>
        </w:rPr>
      </w:pPr>
      <w:r w:rsidRPr="00D46AF9">
        <w:rPr>
          <w:rFonts w:cstheme="minorHAnsi"/>
          <w:i/>
          <w:color w:val="215868" w:themeColor="accent5" w:themeShade="80"/>
          <w:sz w:val="18"/>
          <w:szCs w:val="18"/>
        </w:rPr>
        <w:t>Fuente: UAECD. Sistema de Integrado de Información Catastral – SIIC</w:t>
      </w:r>
    </w:p>
    <w:p w:rsidR="0018557E" w:rsidRDefault="0018557E" w:rsidP="0018557E">
      <w:pPr>
        <w:spacing w:after="0" w:line="240" w:lineRule="auto"/>
        <w:jc w:val="both"/>
        <w:rPr>
          <w:rFonts w:cstheme="minorHAnsi"/>
          <w:color w:val="215868" w:themeColor="accent5" w:themeShade="80"/>
          <w:sz w:val="28"/>
          <w:szCs w:val="28"/>
        </w:rPr>
      </w:pPr>
    </w:p>
    <w:p w:rsidR="0018557E" w:rsidRPr="0018557E" w:rsidRDefault="0018557E" w:rsidP="001B5238">
      <w:pPr>
        <w:spacing w:after="0" w:line="240" w:lineRule="auto"/>
        <w:jc w:val="both"/>
        <w:rPr>
          <w:rFonts w:cstheme="minorHAnsi"/>
          <w:color w:val="215868" w:themeColor="accent5" w:themeShade="80"/>
          <w:sz w:val="28"/>
          <w:szCs w:val="28"/>
        </w:rPr>
      </w:pPr>
      <w:r w:rsidRPr="0018557E">
        <w:rPr>
          <w:rFonts w:cstheme="minorHAnsi"/>
          <w:color w:val="215868" w:themeColor="accent5" w:themeShade="80"/>
          <w:sz w:val="28"/>
          <w:szCs w:val="28"/>
        </w:rPr>
        <w:t>Vale la pena detenerse a analizar no solo los cambios netos en el área construida sino el detalle de la dinámica de área nueva construida y área demolida; esto es particularmente relevante dada la escasez de suelo en Bogotá y el hecho de que las demoliciones con frecuencia predicen futuras construcciones. A continuación, se presenta el comportamiento del área construida en Bogotá en el periodo 2016-2020:</w:t>
      </w:r>
    </w:p>
    <w:p w:rsidR="0018557E" w:rsidRPr="0018557E" w:rsidRDefault="0018557E" w:rsidP="0018557E">
      <w:pPr>
        <w:spacing w:after="0" w:line="240" w:lineRule="auto"/>
        <w:rPr>
          <w:rFonts w:ascii="Calibri Light" w:eastAsia="Calibri" w:hAnsi="Calibri Light" w:cs="Calibri"/>
          <w:i/>
          <w:color w:val="404040"/>
          <w:sz w:val="18"/>
          <w:szCs w:val="18"/>
        </w:rPr>
      </w:pPr>
    </w:p>
    <w:tbl>
      <w:tblPr>
        <w:tblStyle w:val="gestion1"/>
        <w:tblW w:w="9333" w:type="dxa"/>
        <w:tblLook w:val="04A0" w:firstRow="1" w:lastRow="0" w:firstColumn="1" w:lastColumn="0" w:noHBand="0" w:noVBand="1"/>
      </w:tblPr>
      <w:tblGrid>
        <w:gridCol w:w="2685"/>
        <w:gridCol w:w="1515"/>
        <w:gridCol w:w="1260"/>
        <w:gridCol w:w="1338"/>
        <w:gridCol w:w="1245"/>
        <w:gridCol w:w="1290"/>
      </w:tblGrid>
      <w:tr w:rsidR="0018557E" w:rsidRPr="000C24D2" w:rsidTr="000F41FF">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2685" w:type="dxa"/>
            <w:vMerge w:val="restart"/>
            <w:shd w:val="clear" w:color="auto" w:fill="0070C0"/>
            <w:hideMark/>
          </w:tcPr>
          <w:p w:rsidR="0018557E" w:rsidRPr="000C24D2" w:rsidRDefault="0018557E" w:rsidP="0018557E">
            <w:pPr>
              <w:rPr>
                <w:rFonts w:ascii="Calibri" w:eastAsia="Times New Roman" w:hAnsi="Calibri" w:cs="Calibri"/>
                <w:b/>
                <w:szCs w:val="20"/>
                <w:lang w:eastAsia="es-CO"/>
              </w:rPr>
            </w:pPr>
            <w:r w:rsidRPr="000C24D2">
              <w:rPr>
                <w:rFonts w:ascii="Calibri" w:eastAsia="Times New Roman" w:hAnsi="Calibri" w:cs="Calibri"/>
                <w:b/>
                <w:szCs w:val="20"/>
                <w:lang w:eastAsia="es-CO"/>
              </w:rPr>
              <w:t>ÁREA CONSTRUIDA (MTS.2)</w:t>
            </w:r>
          </w:p>
        </w:tc>
        <w:tc>
          <w:tcPr>
            <w:tcW w:w="6648" w:type="dxa"/>
            <w:gridSpan w:val="5"/>
            <w:shd w:val="clear" w:color="auto" w:fill="0070C0"/>
            <w:hideMark/>
          </w:tcPr>
          <w:p w:rsidR="0018557E" w:rsidRPr="000C24D2" w:rsidRDefault="0018557E" w:rsidP="0018557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szCs w:val="20"/>
                <w:lang w:eastAsia="es-CO"/>
              </w:rPr>
            </w:pPr>
            <w:r w:rsidRPr="000C24D2">
              <w:rPr>
                <w:rFonts w:ascii="Calibri" w:eastAsia="Times New Roman" w:hAnsi="Calibri" w:cs="Calibri"/>
                <w:b/>
                <w:szCs w:val="20"/>
                <w:lang w:eastAsia="es-CO"/>
              </w:rPr>
              <w:t>VIGENCIA</w:t>
            </w:r>
          </w:p>
        </w:tc>
      </w:tr>
      <w:tr w:rsidR="0018557E" w:rsidRPr="000C24D2" w:rsidTr="001855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vMerge/>
          </w:tcPr>
          <w:p w:rsidR="0018557E" w:rsidRPr="000C24D2" w:rsidRDefault="0018557E" w:rsidP="0018557E">
            <w:pPr>
              <w:jc w:val="center"/>
              <w:rPr>
                <w:rFonts w:ascii="Calibri" w:eastAsia="Times New Roman" w:hAnsi="Calibri" w:cs="Calibri"/>
                <w:b/>
                <w:bCs/>
                <w:color w:val="FFFFFF"/>
                <w:szCs w:val="20"/>
                <w:lang w:eastAsia="es-CO"/>
              </w:rPr>
            </w:pPr>
          </w:p>
        </w:tc>
        <w:tc>
          <w:tcPr>
            <w:tcW w:w="1515" w:type="dxa"/>
            <w:shd w:val="clear" w:color="auto" w:fill="0070C0"/>
          </w:tcPr>
          <w:p w:rsidR="0018557E" w:rsidRPr="000C24D2" w:rsidRDefault="0018557E" w:rsidP="001855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Cs w:val="20"/>
                <w:lang w:eastAsia="es-CO"/>
              </w:rPr>
            </w:pPr>
            <w:r w:rsidRPr="000C24D2">
              <w:rPr>
                <w:rFonts w:ascii="Calibri" w:eastAsia="Times New Roman" w:hAnsi="Calibri" w:cs="Calibri"/>
                <w:b/>
                <w:bCs/>
                <w:color w:val="FFFFFF"/>
                <w:szCs w:val="20"/>
                <w:lang w:eastAsia="es-CO"/>
              </w:rPr>
              <w:t>2016</w:t>
            </w:r>
          </w:p>
        </w:tc>
        <w:tc>
          <w:tcPr>
            <w:tcW w:w="1260" w:type="dxa"/>
            <w:shd w:val="clear" w:color="auto" w:fill="0070C0"/>
          </w:tcPr>
          <w:p w:rsidR="0018557E" w:rsidRPr="000C24D2" w:rsidRDefault="0018557E" w:rsidP="001855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Cs w:val="20"/>
                <w:lang w:eastAsia="es-CO"/>
              </w:rPr>
            </w:pPr>
            <w:r w:rsidRPr="000C24D2">
              <w:rPr>
                <w:rFonts w:ascii="Calibri" w:eastAsia="Times New Roman" w:hAnsi="Calibri" w:cs="Calibri"/>
                <w:b/>
                <w:bCs/>
                <w:color w:val="FFFFFF"/>
                <w:szCs w:val="20"/>
                <w:lang w:eastAsia="es-CO"/>
              </w:rPr>
              <w:t>2017</w:t>
            </w:r>
          </w:p>
        </w:tc>
        <w:tc>
          <w:tcPr>
            <w:tcW w:w="1338" w:type="dxa"/>
            <w:shd w:val="clear" w:color="auto" w:fill="0070C0"/>
          </w:tcPr>
          <w:p w:rsidR="0018557E" w:rsidRPr="000C24D2" w:rsidRDefault="0018557E" w:rsidP="001855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Cs w:val="20"/>
                <w:lang w:eastAsia="es-CO"/>
              </w:rPr>
            </w:pPr>
            <w:r w:rsidRPr="000C24D2">
              <w:rPr>
                <w:rFonts w:ascii="Calibri" w:eastAsia="Times New Roman" w:hAnsi="Calibri" w:cs="Calibri"/>
                <w:b/>
                <w:bCs/>
                <w:color w:val="FFFFFF"/>
                <w:szCs w:val="20"/>
                <w:lang w:eastAsia="es-CO"/>
              </w:rPr>
              <w:t>2018</w:t>
            </w:r>
          </w:p>
        </w:tc>
        <w:tc>
          <w:tcPr>
            <w:tcW w:w="1245" w:type="dxa"/>
            <w:shd w:val="clear" w:color="auto" w:fill="0070C0"/>
          </w:tcPr>
          <w:p w:rsidR="0018557E" w:rsidRPr="000C24D2" w:rsidRDefault="0018557E" w:rsidP="001855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Cs w:val="20"/>
                <w:lang w:eastAsia="es-CO"/>
              </w:rPr>
            </w:pPr>
            <w:r w:rsidRPr="000C24D2">
              <w:rPr>
                <w:rFonts w:ascii="Calibri" w:eastAsia="Times New Roman" w:hAnsi="Calibri" w:cs="Calibri"/>
                <w:b/>
                <w:bCs/>
                <w:color w:val="FFFFFF"/>
                <w:szCs w:val="20"/>
                <w:lang w:eastAsia="es-CO"/>
              </w:rPr>
              <w:t>2019</w:t>
            </w:r>
          </w:p>
        </w:tc>
        <w:tc>
          <w:tcPr>
            <w:tcW w:w="1290" w:type="dxa"/>
            <w:shd w:val="clear" w:color="auto" w:fill="0070C0"/>
          </w:tcPr>
          <w:p w:rsidR="0018557E" w:rsidRPr="000C24D2" w:rsidRDefault="0018557E" w:rsidP="001855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Cs w:val="20"/>
                <w:lang w:eastAsia="es-CO"/>
              </w:rPr>
            </w:pPr>
            <w:r w:rsidRPr="000C24D2">
              <w:rPr>
                <w:rFonts w:ascii="Calibri" w:eastAsia="Times New Roman" w:hAnsi="Calibri" w:cs="Calibri"/>
                <w:b/>
                <w:bCs/>
                <w:color w:val="FFFFFF"/>
                <w:szCs w:val="20"/>
                <w:lang w:eastAsia="es-CO"/>
              </w:rPr>
              <w:t>2020</w:t>
            </w:r>
          </w:p>
        </w:tc>
      </w:tr>
      <w:tr w:rsidR="0018557E" w:rsidRPr="000C24D2" w:rsidTr="0018557E">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color w:val="215868" w:themeColor="accent5" w:themeShade="80"/>
                <w:szCs w:val="20"/>
                <w:lang w:eastAsia="es-CO"/>
              </w:rPr>
            </w:pPr>
            <w:r w:rsidRPr="000C24D2">
              <w:rPr>
                <w:rFonts w:ascii="Calibri" w:hAnsi="Calibri" w:cs="Calibri"/>
                <w:color w:val="215868" w:themeColor="accent5" w:themeShade="80"/>
              </w:rPr>
              <w:t xml:space="preserve">  Por predios existentes </w:t>
            </w:r>
          </w:p>
        </w:tc>
        <w:tc>
          <w:tcPr>
            <w:tcW w:w="151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1.363.662</w:t>
            </w:r>
          </w:p>
        </w:tc>
        <w:tc>
          <w:tcPr>
            <w:tcW w:w="126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388.697</w:t>
            </w:r>
          </w:p>
        </w:tc>
        <w:tc>
          <w:tcPr>
            <w:tcW w:w="1338"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643.877</w:t>
            </w:r>
          </w:p>
        </w:tc>
        <w:tc>
          <w:tcPr>
            <w:tcW w:w="124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608.414</w:t>
            </w:r>
          </w:p>
        </w:tc>
        <w:tc>
          <w:tcPr>
            <w:tcW w:w="129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highlight w:val="yellow"/>
                <w:lang w:eastAsia="es-CO"/>
              </w:rPr>
            </w:pPr>
            <w:r w:rsidRPr="000C24D2">
              <w:rPr>
                <w:rFonts w:ascii="Calibri" w:hAnsi="Calibri" w:cs="Calibri"/>
                <w:color w:val="215868" w:themeColor="accent5" w:themeShade="80"/>
              </w:rPr>
              <w:t>762.400</w:t>
            </w:r>
          </w:p>
        </w:tc>
      </w:tr>
      <w:tr w:rsidR="0018557E" w:rsidRPr="000C24D2" w:rsidTr="001855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color w:val="215868" w:themeColor="accent5" w:themeShade="80"/>
                <w:szCs w:val="20"/>
                <w:lang w:eastAsia="es-CO"/>
              </w:rPr>
            </w:pPr>
            <w:r w:rsidRPr="000C24D2">
              <w:rPr>
                <w:rFonts w:ascii="Calibri" w:hAnsi="Calibri" w:cs="Calibri"/>
                <w:color w:val="215868" w:themeColor="accent5" w:themeShade="80"/>
              </w:rPr>
              <w:t xml:space="preserve">  Por predios borrados</w:t>
            </w:r>
          </w:p>
        </w:tc>
        <w:tc>
          <w:tcPr>
            <w:tcW w:w="151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1.674.576</w:t>
            </w:r>
          </w:p>
        </w:tc>
        <w:tc>
          <w:tcPr>
            <w:tcW w:w="126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2.010.467</w:t>
            </w:r>
          </w:p>
        </w:tc>
        <w:tc>
          <w:tcPr>
            <w:tcW w:w="1338"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1.571.897</w:t>
            </w:r>
          </w:p>
        </w:tc>
        <w:tc>
          <w:tcPr>
            <w:tcW w:w="124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2.081.733</w:t>
            </w:r>
          </w:p>
        </w:tc>
        <w:tc>
          <w:tcPr>
            <w:tcW w:w="129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highlight w:val="yellow"/>
                <w:lang w:eastAsia="es-CO"/>
              </w:rPr>
            </w:pPr>
            <w:r w:rsidRPr="000C24D2">
              <w:rPr>
                <w:rFonts w:ascii="Calibri" w:hAnsi="Calibri" w:cs="Calibri"/>
                <w:color w:val="215868" w:themeColor="accent5" w:themeShade="80"/>
              </w:rPr>
              <w:t>1.927.342</w:t>
            </w:r>
          </w:p>
        </w:tc>
      </w:tr>
      <w:tr w:rsidR="0018557E" w:rsidRPr="000C24D2" w:rsidTr="0018557E">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b/>
                <w:color w:val="215868" w:themeColor="accent5" w:themeShade="80"/>
                <w:szCs w:val="20"/>
                <w:lang w:eastAsia="es-CO"/>
              </w:rPr>
            </w:pPr>
            <w:r w:rsidRPr="000C24D2">
              <w:rPr>
                <w:rFonts w:ascii="Calibri" w:hAnsi="Calibri" w:cs="Calibri"/>
                <w:color w:val="215868" w:themeColor="accent5" w:themeShade="80"/>
              </w:rPr>
              <w:t>Disminución de área (demolición o englobe)</w:t>
            </w:r>
          </w:p>
        </w:tc>
        <w:tc>
          <w:tcPr>
            <w:tcW w:w="151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3.038.238</w:t>
            </w:r>
          </w:p>
        </w:tc>
        <w:tc>
          <w:tcPr>
            <w:tcW w:w="126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2.399.164</w:t>
            </w:r>
          </w:p>
        </w:tc>
        <w:tc>
          <w:tcPr>
            <w:tcW w:w="1338"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2.215.774</w:t>
            </w:r>
          </w:p>
        </w:tc>
        <w:tc>
          <w:tcPr>
            <w:tcW w:w="124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2.690.147</w:t>
            </w:r>
          </w:p>
        </w:tc>
        <w:tc>
          <w:tcPr>
            <w:tcW w:w="129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highlight w:val="yellow"/>
                <w:lang w:eastAsia="es-CO"/>
              </w:rPr>
            </w:pPr>
            <w:r w:rsidRPr="000C24D2">
              <w:rPr>
                <w:rFonts w:ascii="Calibri" w:hAnsi="Calibri" w:cs="Calibri"/>
                <w:color w:val="215868" w:themeColor="accent5" w:themeShade="80"/>
              </w:rPr>
              <w:t>2.689.742</w:t>
            </w:r>
          </w:p>
        </w:tc>
      </w:tr>
      <w:tr w:rsidR="0018557E" w:rsidRPr="000C24D2" w:rsidTr="001855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color w:val="215868" w:themeColor="accent5" w:themeShade="80"/>
                <w:szCs w:val="20"/>
                <w:lang w:eastAsia="es-CO"/>
              </w:rPr>
            </w:pPr>
            <w:r w:rsidRPr="000C24D2">
              <w:rPr>
                <w:rFonts w:ascii="Calibri" w:hAnsi="Calibri" w:cs="Calibri"/>
                <w:color w:val="215868" w:themeColor="accent5" w:themeShade="80"/>
              </w:rPr>
              <w:t>Por predios sobrantes</w:t>
            </w:r>
          </w:p>
        </w:tc>
        <w:tc>
          <w:tcPr>
            <w:tcW w:w="151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497</w:t>
            </w:r>
          </w:p>
        </w:tc>
        <w:tc>
          <w:tcPr>
            <w:tcW w:w="126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6.018</w:t>
            </w:r>
          </w:p>
        </w:tc>
        <w:tc>
          <w:tcPr>
            <w:tcW w:w="1338"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697</w:t>
            </w:r>
          </w:p>
        </w:tc>
        <w:tc>
          <w:tcPr>
            <w:tcW w:w="124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1.340</w:t>
            </w:r>
          </w:p>
        </w:tc>
        <w:tc>
          <w:tcPr>
            <w:tcW w:w="129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highlight w:val="yellow"/>
                <w:lang w:eastAsia="es-CO"/>
              </w:rPr>
            </w:pPr>
            <w:r w:rsidRPr="000C24D2">
              <w:rPr>
                <w:rFonts w:ascii="Calibri" w:hAnsi="Calibri" w:cs="Calibri"/>
                <w:color w:val="215868" w:themeColor="accent5" w:themeShade="80"/>
              </w:rPr>
              <w:t>1.262</w:t>
            </w:r>
          </w:p>
        </w:tc>
      </w:tr>
      <w:tr w:rsidR="0018557E" w:rsidRPr="000C24D2" w:rsidTr="0018557E">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color w:val="215868" w:themeColor="accent5" w:themeShade="80"/>
                <w:szCs w:val="20"/>
                <w:lang w:eastAsia="es-CO"/>
              </w:rPr>
            </w:pPr>
            <w:r w:rsidRPr="000C24D2">
              <w:rPr>
                <w:rFonts w:ascii="Calibri" w:hAnsi="Calibri" w:cs="Calibri"/>
                <w:color w:val="215868" w:themeColor="accent5" w:themeShade="80"/>
              </w:rPr>
              <w:t>Por predios recuperados</w:t>
            </w:r>
          </w:p>
        </w:tc>
        <w:tc>
          <w:tcPr>
            <w:tcW w:w="151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418.806</w:t>
            </w:r>
          </w:p>
        </w:tc>
        <w:tc>
          <w:tcPr>
            <w:tcW w:w="126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3.831</w:t>
            </w:r>
          </w:p>
        </w:tc>
        <w:tc>
          <w:tcPr>
            <w:tcW w:w="1338"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3.937</w:t>
            </w:r>
          </w:p>
        </w:tc>
        <w:tc>
          <w:tcPr>
            <w:tcW w:w="124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4.867</w:t>
            </w:r>
          </w:p>
        </w:tc>
        <w:tc>
          <w:tcPr>
            <w:tcW w:w="129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highlight w:val="yellow"/>
                <w:lang w:eastAsia="es-CO"/>
              </w:rPr>
            </w:pPr>
            <w:r w:rsidRPr="000C24D2">
              <w:rPr>
                <w:rFonts w:ascii="Calibri" w:hAnsi="Calibri" w:cs="Calibri"/>
                <w:color w:val="215868" w:themeColor="accent5" w:themeShade="80"/>
              </w:rPr>
              <w:t>46.471</w:t>
            </w:r>
          </w:p>
        </w:tc>
      </w:tr>
      <w:tr w:rsidR="0018557E" w:rsidRPr="000C24D2" w:rsidTr="001855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color w:val="215868" w:themeColor="accent5" w:themeShade="80"/>
                <w:szCs w:val="20"/>
                <w:lang w:eastAsia="es-CO"/>
              </w:rPr>
            </w:pPr>
            <w:r w:rsidRPr="000C24D2">
              <w:rPr>
                <w:rFonts w:ascii="Calibri" w:hAnsi="Calibri" w:cs="Calibri"/>
                <w:color w:val="215868" w:themeColor="accent5" w:themeShade="80"/>
              </w:rPr>
              <w:t>Por predios existentes</w:t>
            </w:r>
          </w:p>
        </w:tc>
        <w:tc>
          <w:tcPr>
            <w:tcW w:w="151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2.975.954</w:t>
            </w:r>
          </w:p>
        </w:tc>
        <w:tc>
          <w:tcPr>
            <w:tcW w:w="126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3.014.649</w:t>
            </w:r>
          </w:p>
        </w:tc>
        <w:tc>
          <w:tcPr>
            <w:tcW w:w="1338"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3.789.980</w:t>
            </w:r>
          </w:p>
        </w:tc>
        <w:tc>
          <w:tcPr>
            <w:tcW w:w="124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3.079.559</w:t>
            </w:r>
          </w:p>
        </w:tc>
        <w:tc>
          <w:tcPr>
            <w:tcW w:w="129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Cs w:val="18"/>
                <w:highlight w:val="yellow"/>
                <w:lang w:eastAsia="es-CO"/>
              </w:rPr>
            </w:pPr>
            <w:r w:rsidRPr="000C24D2">
              <w:rPr>
                <w:rFonts w:ascii="Calibri" w:hAnsi="Calibri" w:cs="Calibri"/>
                <w:color w:val="215868" w:themeColor="accent5" w:themeShade="80"/>
              </w:rPr>
              <w:t>4.675.418</w:t>
            </w:r>
          </w:p>
        </w:tc>
      </w:tr>
      <w:tr w:rsidR="0018557E" w:rsidRPr="000C24D2" w:rsidTr="0018557E">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color w:val="215868" w:themeColor="accent5" w:themeShade="80"/>
                <w:szCs w:val="20"/>
                <w:lang w:eastAsia="es-CO"/>
              </w:rPr>
            </w:pPr>
            <w:r w:rsidRPr="000C24D2">
              <w:rPr>
                <w:rFonts w:ascii="Calibri" w:hAnsi="Calibri" w:cs="Calibri"/>
                <w:color w:val="215868" w:themeColor="accent5" w:themeShade="80"/>
              </w:rPr>
              <w:t>Por predios nuevos</w:t>
            </w:r>
          </w:p>
        </w:tc>
        <w:tc>
          <w:tcPr>
            <w:tcW w:w="151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3.891.320</w:t>
            </w:r>
          </w:p>
        </w:tc>
        <w:tc>
          <w:tcPr>
            <w:tcW w:w="126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3.706.898</w:t>
            </w:r>
          </w:p>
        </w:tc>
        <w:tc>
          <w:tcPr>
            <w:tcW w:w="1338"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3.240.440</w:t>
            </w:r>
          </w:p>
        </w:tc>
        <w:tc>
          <w:tcPr>
            <w:tcW w:w="124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lang w:eastAsia="es-CO"/>
              </w:rPr>
            </w:pPr>
            <w:r w:rsidRPr="000C24D2">
              <w:rPr>
                <w:rFonts w:ascii="Calibri" w:hAnsi="Calibri" w:cs="Calibri"/>
                <w:color w:val="215868" w:themeColor="accent5" w:themeShade="80"/>
              </w:rPr>
              <w:t>3.689.108</w:t>
            </w:r>
          </w:p>
        </w:tc>
        <w:tc>
          <w:tcPr>
            <w:tcW w:w="129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15868" w:themeColor="accent5" w:themeShade="80"/>
                <w:szCs w:val="18"/>
                <w:highlight w:val="yellow"/>
                <w:lang w:eastAsia="es-CO"/>
              </w:rPr>
            </w:pPr>
            <w:r w:rsidRPr="000C24D2">
              <w:rPr>
                <w:rFonts w:ascii="Calibri" w:hAnsi="Calibri" w:cs="Calibri"/>
                <w:color w:val="215868" w:themeColor="accent5" w:themeShade="80"/>
              </w:rPr>
              <w:t>2.673.136</w:t>
            </w:r>
          </w:p>
        </w:tc>
      </w:tr>
      <w:tr w:rsidR="0018557E" w:rsidRPr="000C24D2" w:rsidTr="001855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b/>
                <w:color w:val="215868" w:themeColor="accent5" w:themeShade="80"/>
                <w:szCs w:val="20"/>
                <w:lang w:eastAsia="es-CO"/>
              </w:rPr>
            </w:pPr>
            <w:r w:rsidRPr="000C24D2">
              <w:rPr>
                <w:rFonts w:ascii="Calibri" w:hAnsi="Calibri" w:cs="Calibri"/>
                <w:color w:val="215868" w:themeColor="accent5" w:themeShade="80"/>
              </w:rPr>
              <w:t>Área nueva incorporada</w:t>
            </w:r>
          </w:p>
        </w:tc>
        <w:tc>
          <w:tcPr>
            <w:tcW w:w="151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7.286.576</w:t>
            </w:r>
          </w:p>
        </w:tc>
        <w:tc>
          <w:tcPr>
            <w:tcW w:w="126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6.731.396</w:t>
            </w:r>
          </w:p>
        </w:tc>
        <w:tc>
          <w:tcPr>
            <w:tcW w:w="1338"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7.035.053</w:t>
            </w:r>
          </w:p>
        </w:tc>
        <w:tc>
          <w:tcPr>
            <w:tcW w:w="124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6.774.873</w:t>
            </w:r>
          </w:p>
        </w:tc>
        <w:tc>
          <w:tcPr>
            <w:tcW w:w="129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highlight w:val="yellow"/>
                <w:lang w:eastAsia="es-CO"/>
              </w:rPr>
            </w:pPr>
            <w:r w:rsidRPr="000C24D2">
              <w:rPr>
                <w:rFonts w:ascii="Calibri" w:hAnsi="Calibri" w:cs="Calibri"/>
                <w:color w:val="215868" w:themeColor="accent5" w:themeShade="80"/>
              </w:rPr>
              <w:t>7.395.026</w:t>
            </w:r>
          </w:p>
        </w:tc>
      </w:tr>
      <w:tr w:rsidR="0018557E" w:rsidRPr="000C24D2" w:rsidTr="0018557E">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b/>
                <w:color w:val="215868" w:themeColor="accent5" w:themeShade="80"/>
                <w:szCs w:val="20"/>
                <w:lang w:eastAsia="es-CO"/>
              </w:rPr>
            </w:pPr>
            <w:r w:rsidRPr="000C24D2">
              <w:rPr>
                <w:rFonts w:ascii="Calibri" w:hAnsi="Calibri" w:cs="Calibri"/>
                <w:color w:val="215868" w:themeColor="accent5" w:themeShade="80"/>
              </w:rPr>
              <w:t>Área neta incorporada vigencia 2020</w:t>
            </w:r>
          </w:p>
        </w:tc>
        <w:tc>
          <w:tcPr>
            <w:tcW w:w="151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4.248.338</w:t>
            </w:r>
          </w:p>
        </w:tc>
        <w:tc>
          <w:tcPr>
            <w:tcW w:w="126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4.332.232</w:t>
            </w:r>
          </w:p>
        </w:tc>
        <w:tc>
          <w:tcPr>
            <w:tcW w:w="1338"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4.819.279</w:t>
            </w:r>
          </w:p>
        </w:tc>
        <w:tc>
          <w:tcPr>
            <w:tcW w:w="1245"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4.084.726</w:t>
            </w:r>
          </w:p>
        </w:tc>
        <w:tc>
          <w:tcPr>
            <w:tcW w:w="1290" w:type="dxa"/>
            <w:noWrap/>
            <w:vAlign w:val="top"/>
            <w:hideMark/>
          </w:tcPr>
          <w:p w:rsidR="0018557E" w:rsidRPr="000C24D2" w:rsidRDefault="0018557E" w:rsidP="0018557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215868" w:themeColor="accent5" w:themeShade="80"/>
                <w:szCs w:val="18"/>
                <w:highlight w:val="yellow"/>
                <w:lang w:eastAsia="es-CO"/>
              </w:rPr>
            </w:pPr>
            <w:r w:rsidRPr="000C24D2">
              <w:rPr>
                <w:rFonts w:ascii="Calibri" w:hAnsi="Calibri" w:cs="Calibri"/>
                <w:color w:val="215868" w:themeColor="accent5" w:themeShade="80"/>
              </w:rPr>
              <w:t>4.705.283</w:t>
            </w:r>
          </w:p>
        </w:tc>
      </w:tr>
      <w:tr w:rsidR="0018557E" w:rsidRPr="000C24D2" w:rsidTr="001855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85" w:type="dxa"/>
            <w:noWrap/>
            <w:vAlign w:val="top"/>
            <w:hideMark/>
          </w:tcPr>
          <w:p w:rsidR="0018557E" w:rsidRPr="000C24D2" w:rsidRDefault="0018557E" w:rsidP="0018557E">
            <w:pPr>
              <w:rPr>
                <w:rFonts w:ascii="Calibri" w:eastAsia="Times New Roman" w:hAnsi="Calibri" w:cs="Calibri"/>
                <w:b/>
                <w:color w:val="215868" w:themeColor="accent5" w:themeShade="80"/>
                <w:szCs w:val="20"/>
                <w:lang w:eastAsia="es-CO"/>
              </w:rPr>
            </w:pPr>
            <w:r w:rsidRPr="000C24D2">
              <w:rPr>
                <w:rFonts w:ascii="Calibri" w:hAnsi="Calibri" w:cs="Calibri"/>
                <w:color w:val="215868" w:themeColor="accent5" w:themeShade="80"/>
              </w:rPr>
              <w:t xml:space="preserve"> TOTAL ÁREA CONSTRUIDA</w:t>
            </w:r>
          </w:p>
        </w:tc>
        <w:tc>
          <w:tcPr>
            <w:tcW w:w="151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274.089.168</w:t>
            </w:r>
          </w:p>
        </w:tc>
        <w:tc>
          <w:tcPr>
            <w:tcW w:w="126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278.421.400</w:t>
            </w:r>
          </w:p>
        </w:tc>
        <w:tc>
          <w:tcPr>
            <w:tcW w:w="1338"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283.240.679</w:t>
            </w:r>
          </w:p>
        </w:tc>
        <w:tc>
          <w:tcPr>
            <w:tcW w:w="1245"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lang w:eastAsia="es-CO"/>
              </w:rPr>
            </w:pPr>
            <w:r w:rsidRPr="000C24D2">
              <w:rPr>
                <w:rFonts w:ascii="Calibri" w:hAnsi="Calibri" w:cs="Calibri"/>
                <w:color w:val="215868" w:themeColor="accent5" w:themeShade="80"/>
              </w:rPr>
              <w:t>287.325.405</w:t>
            </w:r>
          </w:p>
        </w:tc>
        <w:tc>
          <w:tcPr>
            <w:tcW w:w="1290" w:type="dxa"/>
            <w:noWrap/>
            <w:vAlign w:val="top"/>
            <w:hideMark/>
          </w:tcPr>
          <w:p w:rsidR="0018557E" w:rsidRPr="000C24D2" w:rsidRDefault="0018557E" w:rsidP="00185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215868" w:themeColor="accent5" w:themeShade="80"/>
                <w:szCs w:val="18"/>
                <w:highlight w:val="yellow"/>
                <w:lang w:eastAsia="es-CO"/>
              </w:rPr>
            </w:pPr>
            <w:r w:rsidRPr="000C24D2">
              <w:rPr>
                <w:rFonts w:ascii="Calibri" w:hAnsi="Calibri" w:cs="Calibri"/>
                <w:color w:val="215868" w:themeColor="accent5" w:themeShade="80"/>
              </w:rPr>
              <w:t>292.030.689</w:t>
            </w:r>
          </w:p>
        </w:tc>
      </w:tr>
    </w:tbl>
    <w:p w:rsidR="0018557E" w:rsidRPr="00D46AF9" w:rsidRDefault="0018557E" w:rsidP="0018557E">
      <w:pPr>
        <w:spacing w:after="0" w:line="240" w:lineRule="auto"/>
        <w:jc w:val="center"/>
        <w:rPr>
          <w:rFonts w:eastAsia="Times New Roman" w:cstheme="minorHAnsi"/>
          <w:i/>
          <w:iCs/>
          <w:color w:val="215868" w:themeColor="accent5" w:themeShade="80"/>
          <w:sz w:val="18"/>
          <w:szCs w:val="18"/>
          <w:lang w:eastAsia="es-CO"/>
        </w:rPr>
      </w:pPr>
      <w:r w:rsidRPr="00D46AF9">
        <w:rPr>
          <w:rFonts w:eastAsia="Calibri" w:cstheme="minorHAnsi"/>
          <w:i/>
          <w:iCs/>
          <w:color w:val="215868" w:themeColor="accent5" w:themeShade="80"/>
          <w:sz w:val="18"/>
          <w:szCs w:val="18"/>
        </w:rPr>
        <w:t>Tabla. Comportamiento área construida, vigencia 2016 – 2020</w:t>
      </w:r>
    </w:p>
    <w:p w:rsidR="0018557E" w:rsidRPr="00D46AF9" w:rsidRDefault="0018557E" w:rsidP="0018557E">
      <w:pPr>
        <w:spacing w:after="0" w:line="240" w:lineRule="auto"/>
        <w:jc w:val="center"/>
        <w:rPr>
          <w:rFonts w:eastAsia="Calibri" w:cstheme="minorHAnsi"/>
          <w:i/>
          <w:iCs/>
          <w:color w:val="215868" w:themeColor="accent5" w:themeShade="80"/>
          <w:sz w:val="18"/>
          <w:szCs w:val="18"/>
        </w:rPr>
      </w:pPr>
      <w:r w:rsidRPr="00D46AF9">
        <w:rPr>
          <w:rFonts w:eastAsia="Calibri" w:cstheme="minorHAnsi"/>
          <w:i/>
          <w:iCs/>
          <w:color w:val="215868" w:themeColor="accent5" w:themeShade="80"/>
          <w:sz w:val="18"/>
          <w:szCs w:val="18"/>
        </w:rPr>
        <w:t>Fuente: UAECD. Sistema de Integrado de Información Catastral – SIIC</w:t>
      </w:r>
    </w:p>
    <w:p w:rsidR="0018557E" w:rsidRPr="0018557E" w:rsidRDefault="0018557E" w:rsidP="0018557E">
      <w:pPr>
        <w:keepNext/>
        <w:keepLines/>
        <w:spacing w:after="0" w:line="240" w:lineRule="auto"/>
        <w:jc w:val="center"/>
        <w:outlineLvl w:val="0"/>
        <w:rPr>
          <w:rFonts w:ascii="Calibri Light" w:eastAsia="Calibri" w:hAnsi="Calibri Light" w:cs="Times New Roman"/>
          <w:bCs/>
          <w:i/>
          <w:sz w:val="18"/>
          <w:highlight w:val="yellow"/>
        </w:rPr>
      </w:pPr>
    </w:p>
    <w:p w:rsidR="0018557E" w:rsidRPr="0018557E" w:rsidRDefault="0018557E" w:rsidP="0018557E">
      <w:pPr>
        <w:keepNext/>
        <w:keepLines/>
        <w:spacing w:after="0" w:line="240" w:lineRule="auto"/>
        <w:jc w:val="center"/>
        <w:outlineLvl w:val="0"/>
        <w:rPr>
          <w:rFonts w:ascii="Calibri Light" w:eastAsia="Calibri" w:hAnsi="Calibri Light" w:cs="Times New Roman"/>
          <w:bCs/>
          <w:i/>
          <w:sz w:val="18"/>
          <w:highlight w:val="yellow"/>
        </w:rPr>
      </w:pPr>
    </w:p>
    <w:p w:rsidR="0018557E" w:rsidRPr="0018557E" w:rsidRDefault="0018557E" w:rsidP="001B5238">
      <w:pPr>
        <w:widowControl w:val="0"/>
        <w:autoSpaceDE w:val="0"/>
        <w:autoSpaceDN w:val="0"/>
        <w:spacing w:after="0" w:line="240" w:lineRule="auto"/>
        <w:jc w:val="both"/>
        <w:rPr>
          <w:rFonts w:cstheme="minorHAnsi"/>
          <w:color w:val="215868" w:themeColor="accent5" w:themeShade="80"/>
          <w:sz w:val="28"/>
          <w:szCs w:val="28"/>
        </w:rPr>
      </w:pPr>
      <w:r w:rsidRPr="0018557E">
        <w:rPr>
          <w:rFonts w:cstheme="minorHAnsi"/>
          <w:color w:val="215868" w:themeColor="accent5" w:themeShade="80"/>
          <w:sz w:val="28"/>
          <w:szCs w:val="28"/>
        </w:rPr>
        <w:t>En lo referente a la información jurídica de los predios, a la fecha la información predial de la UAECD tiene una interrelación del 99% con los predios registrados en la Superintendencia de Notariado y Registro –SNR. Este es el resultado de constantes procesos de depuración entre ambas bases. La interrelación de predios se verifica con la coincidencia de 5 variables: código de sector, propietario o propietarios, documento de identidad del propietario, nomenclatura y matrícula inmobiliaria.</w:t>
      </w:r>
    </w:p>
    <w:p w:rsidR="0018557E" w:rsidRPr="0018557E" w:rsidRDefault="0018557E" w:rsidP="001B5238">
      <w:pPr>
        <w:widowControl w:val="0"/>
        <w:autoSpaceDE w:val="0"/>
        <w:autoSpaceDN w:val="0"/>
        <w:spacing w:after="0" w:line="240" w:lineRule="auto"/>
        <w:jc w:val="both"/>
        <w:rPr>
          <w:rFonts w:cstheme="minorHAnsi"/>
          <w:color w:val="215868" w:themeColor="accent5" w:themeShade="80"/>
          <w:sz w:val="28"/>
          <w:szCs w:val="28"/>
        </w:rPr>
      </w:pPr>
    </w:p>
    <w:p w:rsidR="0018557E" w:rsidRPr="0018557E" w:rsidRDefault="0018557E" w:rsidP="001B5238">
      <w:pPr>
        <w:widowControl w:val="0"/>
        <w:autoSpaceDE w:val="0"/>
        <w:autoSpaceDN w:val="0"/>
        <w:spacing w:after="0" w:line="240" w:lineRule="auto"/>
        <w:jc w:val="both"/>
        <w:rPr>
          <w:rFonts w:cstheme="minorHAnsi"/>
          <w:color w:val="215868" w:themeColor="accent5" w:themeShade="80"/>
          <w:sz w:val="28"/>
          <w:szCs w:val="28"/>
        </w:rPr>
      </w:pPr>
      <w:r w:rsidRPr="0018557E">
        <w:rPr>
          <w:rFonts w:cstheme="minorHAnsi"/>
          <w:color w:val="215868" w:themeColor="accent5" w:themeShade="80"/>
          <w:sz w:val="28"/>
          <w:szCs w:val="28"/>
        </w:rPr>
        <w:t>El proceso incluye una actualización jurídica masiva que se lleva a cabo a partir de la información relacionada con la última transacción de traslación de dominio de predios remitida por la SNR. Esto se complementa con la actualización jurídica puntual que debe hacerse cuando no es posible hacerlo de manera automática y se requiere revisión y mutación individual.</w:t>
      </w:r>
    </w:p>
    <w:p w:rsidR="0018557E" w:rsidRPr="0018557E" w:rsidRDefault="0018557E" w:rsidP="001B5238">
      <w:pPr>
        <w:widowControl w:val="0"/>
        <w:autoSpaceDE w:val="0"/>
        <w:autoSpaceDN w:val="0"/>
        <w:spacing w:after="0" w:line="240" w:lineRule="auto"/>
        <w:jc w:val="both"/>
        <w:rPr>
          <w:rFonts w:cstheme="minorHAnsi"/>
          <w:color w:val="215868" w:themeColor="accent5" w:themeShade="80"/>
          <w:sz w:val="28"/>
          <w:szCs w:val="28"/>
        </w:rPr>
      </w:pPr>
    </w:p>
    <w:p w:rsidR="0018557E" w:rsidRPr="0018557E" w:rsidRDefault="0018557E" w:rsidP="001B5238">
      <w:pPr>
        <w:widowControl w:val="0"/>
        <w:autoSpaceDE w:val="0"/>
        <w:autoSpaceDN w:val="0"/>
        <w:spacing w:after="0" w:line="240" w:lineRule="auto"/>
        <w:jc w:val="both"/>
        <w:rPr>
          <w:rFonts w:cstheme="minorHAnsi"/>
          <w:color w:val="215868" w:themeColor="accent5" w:themeShade="80"/>
          <w:sz w:val="28"/>
          <w:szCs w:val="28"/>
        </w:rPr>
      </w:pPr>
      <w:r w:rsidRPr="0018557E">
        <w:rPr>
          <w:rFonts w:cstheme="minorHAnsi"/>
          <w:color w:val="215868" w:themeColor="accent5" w:themeShade="80"/>
          <w:sz w:val="28"/>
          <w:szCs w:val="28"/>
        </w:rPr>
        <w:t>En lo concerniente a la actualización jurídica de la ciudad, se continuó avanzado en la homogenización e integración de los registros prediales de la SNR y la base catastral de la UAECD, llegando una interrelación del 99.76% en 2019.</w:t>
      </w:r>
    </w:p>
    <w:p w:rsidR="0018557E" w:rsidRPr="00482949" w:rsidRDefault="0018557E" w:rsidP="001B5238">
      <w:pPr>
        <w:spacing w:after="0" w:line="240" w:lineRule="auto"/>
        <w:jc w:val="both"/>
        <w:rPr>
          <w:rFonts w:cstheme="minorHAnsi"/>
          <w:color w:val="215868" w:themeColor="accent5" w:themeShade="80"/>
          <w:sz w:val="28"/>
          <w:szCs w:val="28"/>
        </w:rPr>
      </w:pPr>
    </w:p>
    <w:p w:rsidR="0018557E" w:rsidRPr="0018557E" w:rsidRDefault="0018557E" w:rsidP="001B5238">
      <w:pPr>
        <w:widowControl w:val="0"/>
        <w:autoSpaceDE w:val="0"/>
        <w:autoSpaceDN w:val="0"/>
        <w:spacing w:after="0" w:line="240" w:lineRule="auto"/>
        <w:jc w:val="both"/>
        <w:rPr>
          <w:rFonts w:cstheme="minorHAnsi"/>
          <w:color w:val="215868" w:themeColor="accent5" w:themeShade="80"/>
          <w:sz w:val="28"/>
          <w:szCs w:val="28"/>
        </w:rPr>
      </w:pPr>
      <w:bookmarkStart w:id="4" w:name="_Ref500158837"/>
      <w:r w:rsidRPr="0018557E">
        <w:rPr>
          <w:rFonts w:cstheme="minorHAnsi"/>
          <w:color w:val="215868" w:themeColor="accent5" w:themeShade="80"/>
          <w:sz w:val="28"/>
          <w:szCs w:val="28"/>
        </w:rPr>
        <w:t>La siguiente tabla muestra que durante cuatrienio se registraron 533.796 cambios de nombre de propietario en la base catastral, siendo Suba una de las localidades con mayores cambios registrados. Esta información es producto de los reportes suministrados por la SNR y que fueron registrados en el Sistema Integrado de Información Catastral.</w:t>
      </w:r>
    </w:p>
    <w:p w:rsidR="0018557E" w:rsidRPr="0018557E" w:rsidRDefault="0018557E" w:rsidP="0018557E">
      <w:pPr>
        <w:widowControl w:val="0"/>
        <w:autoSpaceDE w:val="0"/>
        <w:autoSpaceDN w:val="0"/>
        <w:spacing w:after="0" w:line="240" w:lineRule="auto"/>
        <w:ind w:left="-567"/>
        <w:jc w:val="both"/>
        <w:rPr>
          <w:rFonts w:cstheme="minorHAnsi"/>
          <w:color w:val="215868" w:themeColor="accent5" w:themeShade="80"/>
          <w:sz w:val="28"/>
          <w:szCs w:val="28"/>
        </w:rPr>
      </w:pPr>
    </w:p>
    <w:tbl>
      <w:tblPr>
        <w:tblStyle w:val="NormalTable0"/>
        <w:tblW w:w="9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Layout w:type="fixed"/>
        <w:tblLook w:val="01E0" w:firstRow="1" w:lastRow="1" w:firstColumn="1" w:lastColumn="1" w:noHBand="0" w:noVBand="0"/>
      </w:tblPr>
      <w:tblGrid>
        <w:gridCol w:w="3838"/>
        <w:gridCol w:w="2683"/>
        <w:gridCol w:w="2693"/>
      </w:tblGrid>
      <w:tr w:rsidR="0018557E" w:rsidRPr="000C24D2" w:rsidTr="000C24D2">
        <w:trPr>
          <w:trHeight w:val="577"/>
          <w:tblHeader/>
          <w:jc w:val="center"/>
        </w:trPr>
        <w:tc>
          <w:tcPr>
            <w:tcW w:w="3838" w:type="dxa"/>
            <w:shd w:val="clear" w:color="auto" w:fill="0070C0"/>
            <w:vAlign w:val="center"/>
          </w:tcPr>
          <w:p w:rsidR="0018557E" w:rsidRPr="000C24D2" w:rsidRDefault="0018557E" w:rsidP="0018557E">
            <w:pPr>
              <w:jc w:val="center"/>
              <w:rPr>
                <w:rFonts w:ascii="Calibri Light" w:eastAsia="Yu Gothic Light" w:hAnsi="Calibri Light"/>
                <w:b/>
                <w:bCs/>
                <w:color w:val="FFFFFF"/>
                <w:sz w:val="20"/>
                <w:szCs w:val="20"/>
                <w:lang w:eastAsia="es-CO"/>
              </w:rPr>
            </w:pPr>
            <w:bookmarkStart w:id="5" w:name="_bookmark19"/>
            <w:bookmarkEnd w:id="5"/>
            <w:r w:rsidRPr="000C24D2">
              <w:rPr>
                <w:rFonts w:ascii="Calibri Light" w:eastAsia="Yu Gothic Light" w:hAnsi="Calibri Light"/>
                <w:b/>
                <w:bCs/>
                <w:color w:val="FFFFFF"/>
                <w:sz w:val="20"/>
                <w:szCs w:val="20"/>
                <w:lang w:eastAsia="es-CO"/>
              </w:rPr>
              <w:t>LOCALIDAD</w:t>
            </w:r>
          </w:p>
        </w:tc>
        <w:tc>
          <w:tcPr>
            <w:tcW w:w="2683" w:type="dxa"/>
            <w:shd w:val="clear" w:color="auto" w:fill="0070C0"/>
            <w:vAlign w:val="center"/>
          </w:tcPr>
          <w:p w:rsidR="0018557E" w:rsidRPr="000C24D2" w:rsidRDefault="0018557E" w:rsidP="0018557E">
            <w:pPr>
              <w:ind w:right="365"/>
              <w:jc w:val="center"/>
              <w:rPr>
                <w:rFonts w:ascii="Calibri Light" w:eastAsia="Yu Gothic Light" w:hAnsi="Calibri Light"/>
                <w:b/>
                <w:bCs/>
                <w:color w:val="FFFFFF"/>
                <w:sz w:val="20"/>
                <w:szCs w:val="20"/>
                <w:lang w:eastAsia="es-CO"/>
              </w:rPr>
            </w:pPr>
            <w:r w:rsidRPr="000C24D2">
              <w:rPr>
                <w:rFonts w:ascii="Calibri Light" w:eastAsia="Yu Gothic Light" w:hAnsi="Calibri Light"/>
                <w:b/>
                <w:bCs/>
                <w:color w:val="FFFFFF"/>
                <w:sz w:val="20"/>
                <w:szCs w:val="20"/>
                <w:lang w:eastAsia="es-CO"/>
              </w:rPr>
              <w:t>PREDIOS</w:t>
            </w:r>
          </w:p>
        </w:tc>
        <w:tc>
          <w:tcPr>
            <w:tcW w:w="2693" w:type="dxa"/>
            <w:shd w:val="clear" w:color="auto" w:fill="0070C0"/>
            <w:vAlign w:val="center"/>
          </w:tcPr>
          <w:p w:rsidR="0018557E" w:rsidRPr="000C24D2" w:rsidRDefault="0018557E" w:rsidP="0018557E">
            <w:pPr>
              <w:ind w:right="147"/>
              <w:jc w:val="center"/>
              <w:rPr>
                <w:rFonts w:ascii="Calibri Light" w:eastAsia="Yu Gothic Light" w:hAnsi="Calibri Light"/>
                <w:b/>
                <w:bCs/>
                <w:color w:val="FFFFFF"/>
                <w:sz w:val="20"/>
                <w:szCs w:val="20"/>
                <w:lang w:eastAsia="es-CO"/>
              </w:rPr>
            </w:pPr>
            <w:r w:rsidRPr="000C24D2">
              <w:rPr>
                <w:rFonts w:ascii="Calibri Light" w:eastAsia="Yu Gothic Light" w:hAnsi="Calibri Light"/>
                <w:b/>
                <w:bCs/>
                <w:color w:val="FFFFFF"/>
                <w:sz w:val="20"/>
                <w:szCs w:val="20"/>
                <w:lang w:eastAsia="es-CO"/>
              </w:rPr>
              <w:t>% PARTICIPACIÓN</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Suba</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103.075</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19%</w:t>
            </w:r>
          </w:p>
        </w:tc>
      </w:tr>
      <w:tr w:rsidR="0018557E" w:rsidRPr="000C24D2" w:rsidTr="000C24D2">
        <w:trPr>
          <w:trHeight w:val="285"/>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Usaquén</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86.492</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16%</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Kennedy</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56.590</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11%</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Chapinero</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39.804</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7%</w:t>
            </w:r>
          </w:p>
        </w:tc>
      </w:tr>
      <w:tr w:rsidR="0018557E" w:rsidRPr="000C24D2" w:rsidTr="000C24D2">
        <w:trPr>
          <w:trHeight w:val="285"/>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Engativá</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39.449</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7%</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Bosa</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33.263</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6%</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Fontibón</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32.291</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6%</w:t>
            </w:r>
          </w:p>
        </w:tc>
      </w:tr>
      <w:tr w:rsidR="0018557E" w:rsidRPr="000C24D2" w:rsidTr="000C24D2">
        <w:trPr>
          <w:trHeight w:val="286"/>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Ciudad Bolívar</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23.112</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4%</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Teusaquillo</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16.429</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Usme</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15.029</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w:t>
            </w:r>
          </w:p>
        </w:tc>
      </w:tr>
      <w:tr w:rsidR="0018557E" w:rsidRPr="000C24D2" w:rsidTr="000C24D2">
        <w:trPr>
          <w:trHeight w:val="285"/>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San Cristóbal</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14.539</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Santa Fe</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14.060</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Puente Aranda</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13.478</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3%</w:t>
            </w:r>
          </w:p>
        </w:tc>
      </w:tr>
      <w:tr w:rsidR="0018557E" w:rsidRPr="000C24D2" w:rsidTr="000C24D2">
        <w:trPr>
          <w:trHeight w:val="285"/>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Rafael Uribe Uribe</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13.273</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2%</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Barrios Unidos</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12.572</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2%</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 xml:space="preserve">Los </w:t>
            </w:r>
            <w:proofErr w:type="spellStart"/>
            <w:r w:rsidRPr="000C24D2">
              <w:rPr>
                <w:rFonts w:eastAsia="Yu Gothic Light" w:cstheme="minorHAnsi"/>
                <w:color w:val="215868" w:themeColor="accent5" w:themeShade="80"/>
                <w:sz w:val="20"/>
                <w:szCs w:val="20"/>
              </w:rPr>
              <w:t>Mártires</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7.859</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w:t>
            </w:r>
          </w:p>
        </w:tc>
      </w:tr>
      <w:tr w:rsidR="0018557E" w:rsidRPr="000C24D2" w:rsidTr="000C24D2">
        <w:trPr>
          <w:trHeight w:val="285"/>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Tunjuelito</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5.219</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w:t>
            </w:r>
          </w:p>
        </w:tc>
      </w:tr>
      <w:tr w:rsidR="0018557E" w:rsidRPr="000C24D2" w:rsidTr="000C24D2">
        <w:trPr>
          <w:trHeight w:val="288"/>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Antonio Nariño</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4.341</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w:t>
            </w:r>
          </w:p>
        </w:tc>
      </w:tr>
      <w:tr w:rsidR="0018557E" w:rsidRPr="000C24D2" w:rsidTr="000C24D2">
        <w:trPr>
          <w:trHeight w:val="287"/>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La Candelaria</w:t>
            </w:r>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2.760</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w:t>
            </w:r>
          </w:p>
        </w:tc>
      </w:tr>
      <w:tr w:rsidR="0018557E" w:rsidRPr="000C24D2" w:rsidTr="000C24D2">
        <w:trPr>
          <w:trHeight w:val="285"/>
          <w:jc w:val="center"/>
        </w:trPr>
        <w:tc>
          <w:tcPr>
            <w:tcW w:w="3838" w:type="dxa"/>
            <w:shd w:val="clear" w:color="auto" w:fill="D9D9D9" w:themeFill="background1" w:themeFillShade="D9"/>
          </w:tcPr>
          <w:p w:rsidR="0018557E" w:rsidRPr="000C24D2" w:rsidRDefault="000C24D2" w:rsidP="0018557E">
            <w:pPr>
              <w:rPr>
                <w:rFonts w:eastAsia="Yu Gothic Light" w:cstheme="minorHAnsi"/>
                <w:color w:val="215868" w:themeColor="accent5" w:themeShade="80"/>
                <w:sz w:val="20"/>
                <w:szCs w:val="20"/>
                <w:lang w:val="es-ES" w:eastAsia="es-CO"/>
              </w:rPr>
            </w:pPr>
            <w:proofErr w:type="spellStart"/>
            <w:r w:rsidRPr="000C24D2">
              <w:rPr>
                <w:rFonts w:eastAsia="Yu Gothic Light" w:cstheme="minorHAnsi"/>
                <w:color w:val="215868" w:themeColor="accent5" w:themeShade="80"/>
                <w:sz w:val="20"/>
                <w:szCs w:val="20"/>
              </w:rPr>
              <w:t>Sumapaz</w:t>
            </w:r>
            <w:proofErr w:type="spellEnd"/>
          </w:p>
        </w:tc>
        <w:tc>
          <w:tcPr>
            <w:tcW w:w="268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161</w:t>
            </w:r>
          </w:p>
        </w:tc>
        <w:tc>
          <w:tcPr>
            <w:tcW w:w="2693" w:type="dxa"/>
            <w:shd w:val="clear" w:color="auto" w:fill="D9D9D9" w:themeFill="background1" w:themeFillShade="D9"/>
          </w:tcPr>
          <w:p w:rsidR="0018557E" w:rsidRPr="000C24D2" w:rsidRDefault="0018557E" w:rsidP="0018557E">
            <w:pPr>
              <w:jc w:val="center"/>
              <w:rPr>
                <w:rFonts w:eastAsia="Yu Gothic Light" w:cstheme="minorHAnsi"/>
                <w:color w:val="215868" w:themeColor="accent5" w:themeShade="80"/>
                <w:sz w:val="20"/>
                <w:szCs w:val="20"/>
                <w:lang w:val="es-ES" w:eastAsia="es-CO"/>
              </w:rPr>
            </w:pPr>
            <w:r w:rsidRPr="000C24D2">
              <w:rPr>
                <w:rFonts w:eastAsia="Yu Gothic Light" w:cstheme="minorHAnsi"/>
                <w:color w:val="215868" w:themeColor="accent5" w:themeShade="80"/>
                <w:sz w:val="20"/>
                <w:szCs w:val="20"/>
              </w:rPr>
              <w:t>0%</w:t>
            </w:r>
          </w:p>
        </w:tc>
      </w:tr>
    </w:tbl>
    <w:p w:rsidR="0018557E" w:rsidRPr="00D46AF9" w:rsidRDefault="0018557E" w:rsidP="0018557E">
      <w:pPr>
        <w:spacing w:after="0" w:line="240" w:lineRule="auto"/>
        <w:jc w:val="center"/>
        <w:rPr>
          <w:rFonts w:cstheme="minorHAnsi"/>
          <w:i/>
          <w:color w:val="215868" w:themeColor="accent5" w:themeShade="80"/>
          <w:sz w:val="18"/>
          <w:szCs w:val="18"/>
        </w:rPr>
      </w:pPr>
      <w:r w:rsidRPr="00D46AF9">
        <w:rPr>
          <w:rFonts w:cstheme="minorHAnsi"/>
          <w:i/>
          <w:color w:val="215868" w:themeColor="accent5" w:themeShade="80"/>
          <w:sz w:val="18"/>
          <w:szCs w:val="18"/>
        </w:rPr>
        <w:t>Tabla. Predios con cambio de nombre de propietario por localidad 2016 – 2019</w:t>
      </w:r>
    </w:p>
    <w:p w:rsidR="0018557E" w:rsidRPr="00D46AF9" w:rsidRDefault="0018557E" w:rsidP="0018557E">
      <w:pPr>
        <w:spacing w:after="0" w:line="240" w:lineRule="auto"/>
        <w:jc w:val="center"/>
        <w:rPr>
          <w:rFonts w:cstheme="minorHAnsi"/>
          <w:i/>
          <w:color w:val="215868" w:themeColor="accent5" w:themeShade="80"/>
          <w:sz w:val="18"/>
          <w:szCs w:val="18"/>
        </w:rPr>
      </w:pPr>
      <w:r w:rsidRPr="00D46AF9">
        <w:rPr>
          <w:rFonts w:cstheme="minorHAnsi"/>
          <w:i/>
          <w:color w:val="215868" w:themeColor="accent5" w:themeShade="80"/>
          <w:sz w:val="18"/>
          <w:szCs w:val="18"/>
        </w:rPr>
        <w:t>Fuente: Sistema de Integrado de Información Catastral – SIIC</w:t>
      </w:r>
      <w:r w:rsidR="00D46AF9">
        <w:rPr>
          <w:rFonts w:cstheme="minorHAnsi"/>
          <w:i/>
          <w:color w:val="215868" w:themeColor="accent5" w:themeShade="80"/>
          <w:sz w:val="18"/>
          <w:szCs w:val="18"/>
        </w:rPr>
        <w:t xml:space="preserve">. </w:t>
      </w:r>
      <w:r w:rsidRPr="00D46AF9">
        <w:rPr>
          <w:rFonts w:cstheme="minorHAnsi"/>
          <w:i/>
          <w:color w:val="215868" w:themeColor="accent5" w:themeShade="80"/>
          <w:sz w:val="18"/>
          <w:szCs w:val="18"/>
        </w:rPr>
        <w:t>2019.</w:t>
      </w:r>
    </w:p>
    <w:p w:rsidR="0018557E" w:rsidRPr="0018557E" w:rsidRDefault="0018557E" w:rsidP="0018557E">
      <w:pPr>
        <w:spacing w:after="0" w:line="240" w:lineRule="auto"/>
        <w:jc w:val="center"/>
        <w:rPr>
          <w:rFonts w:ascii="Calibri Light" w:eastAsia="Times New Roman" w:hAnsi="Calibri Light" w:cs="Calibri"/>
          <w:i/>
          <w:sz w:val="18"/>
          <w:szCs w:val="18"/>
          <w:lang w:eastAsia="es-CO"/>
        </w:rPr>
      </w:pPr>
    </w:p>
    <w:p w:rsidR="0018557E" w:rsidRPr="0018557E" w:rsidRDefault="0018557E" w:rsidP="0018557E">
      <w:pPr>
        <w:spacing w:after="0" w:line="240" w:lineRule="auto"/>
        <w:jc w:val="center"/>
        <w:rPr>
          <w:rFonts w:ascii="Calibri Light" w:eastAsia="Times New Roman" w:hAnsi="Calibri Light" w:cs="Calibri"/>
          <w:i/>
          <w:lang w:eastAsia="es-CO"/>
        </w:rPr>
      </w:pPr>
    </w:p>
    <w:bookmarkEnd w:id="4"/>
    <w:p w:rsidR="0018557E" w:rsidRPr="0018557E" w:rsidRDefault="0018557E" w:rsidP="001B5238">
      <w:pPr>
        <w:widowControl w:val="0"/>
        <w:autoSpaceDE w:val="0"/>
        <w:autoSpaceDN w:val="0"/>
        <w:jc w:val="both"/>
        <w:rPr>
          <w:rFonts w:cstheme="minorHAnsi"/>
          <w:color w:val="215868" w:themeColor="accent5" w:themeShade="80"/>
          <w:sz w:val="28"/>
          <w:szCs w:val="28"/>
        </w:rPr>
      </w:pPr>
      <w:r w:rsidRPr="0018557E">
        <w:rPr>
          <w:rFonts w:cstheme="minorHAnsi"/>
          <w:color w:val="215868" w:themeColor="accent5" w:themeShade="80"/>
          <w:sz w:val="28"/>
          <w:szCs w:val="28"/>
        </w:rPr>
        <w:t>Ahora bien, el componente económico del proceso de actualización catastral, da como resultado que Bogotá ha evolucionado cada año, pasando de $446,9 billones en la vigencia 2015 a $680,3 billones de pesos en la vigencia 2020, lo que representa un incremento promedio del 52,23% de la ciudad durante el cuatrienio.</w:t>
      </w:r>
    </w:p>
    <w:p w:rsidR="0018557E" w:rsidRDefault="0018557E" w:rsidP="0018557E">
      <w:pPr>
        <w:jc w:val="both"/>
        <w:rPr>
          <w:rFonts w:asciiTheme="majorHAnsi" w:hAnsiTheme="majorHAnsi"/>
        </w:rPr>
      </w:pPr>
    </w:p>
    <w:p w:rsidR="0018557E" w:rsidRPr="0018557E" w:rsidRDefault="0018557E" w:rsidP="0018557E">
      <w:pPr>
        <w:spacing w:after="0" w:line="240" w:lineRule="auto"/>
        <w:jc w:val="center"/>
        <w:rPr>
          <w:rFonts w:cstheme="minorHAnsi"/>
          <w:color w:val="215868" w:themeColor="accent5" w:themeShade="80"/>
          <w:sz w:val="20"/>
          <w:szCs w:val="20"/>
        </w:rPr>
      </w:pPr>
      <w:r w:rsidRPr="0018557E">
        <w:rPr>
          <w:rFonts w:cstheme="minorHAnsi"/>
          <w:noProof/>
          <w:color w:val="215868" w:themeColor="accent5" w:themeShade="80"/>
          <w:sz w:val="20"/>
          <w:szCs w:val="20"/>
        </w:rPr>
        <w:drawing>
          <wp:inline distT="0" distB="0" distL="0" distR="0" wp14:anchorId="7761E9AD" wp14:editId="024E7D60">
            <wp:extent cx="5879211" cy="2711967"/>
            <wp:effectExtent l="0" t="0" r="7620" b="0"/>
            <wp:docPr id="16167475" name="Imagen 62735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7359606"/>
                    <pic:cNvPicPr/>
                  </pic:nvPicPr>
                  <pic:blipFill>
                    <a:blip r:embed="rId11">
                      <a:extLst>
                        <a:ext uri="{28A0092B-C50C-407E-A947-70E740481C1C}">
                          <a14:useLocalDpi xmlns:a14="http://schemas.microsoft.com/office/drawing/2010/main" val="0"/>
                        </a:ext>
                      </a:extLst>
                    </a:blip>
                    <a:stretch>
                      <a:fillRect/>
                    </a:stretch>
                  </pic:blipFill>
                  <pic:spPr>
                    <a:xfrm>
                      <a:off x="0" y="0"/>
                      <a:ext cx="5906629" cy="2724614"/>
                    </a:xfrm>
                    <a:prstGeom prst="rect">
                      <a:avLst/>
                    </a:prstGeom>
                  </pic:spPr>
                </pic:pic>
              </a:graphicData>
            </a:graphic>
          </wp:inline>
        </w:drawing>
      </w:r>
    </w:p>
    <w:p w:rsidR="0018557E" w:rsidRPr="00D46AF9" w:rsidRDefault="0018557E" w:rsidP="0018557E">
      <w:pPr>
        <w:spacing w:after="0" w:line="240" w:lineRule="auto"/>
        <w:jc w:val="center"/>
        <w:rPr>
          <w:rFonts w:cstheme="minorHAnsi"/>
          <w:i/>
          <w:color w:val="215868" w:themeColor="accent5" w:themeShade="80"/>
          <w:sz w:val="18"/>
          <w:szCs w:val="18"/>
        </w:rPr>
      </w:pPr>
      <w:bookmarkStart w:id="6" w:name="_Toc536712735"/>
      <w:r w:rsidRPr="00D46AF9">
        <w:rPr>
          <w:rFonts w:cstheme="minorHAnsi"/>
          <w:i/>
          <w:color w:val="215868" w:themeColor="accent5" w:themeShade="80"/>
          <w:sz w:val="18"/>
          <w:szCs w:val="18"/>
        </w:rPr>
        <w:t>Gráfico. Valor catastral de predios en miles de millones de pesos por año entre 2010 y 2019</w:t>
      </w:r>
      <w:bookmarkEnd w:id="6"/>
    </w:p>
    <w:p w:rsidR="0018557E" w:rsidRPr="00D46AF9" w:rsidRDefault="0018557E" w:rsidP="0018557E">
      <w:pPr>
        <w:spacing w:after="0" w:line="240" w:lineRule="auto"/>
        <w:jc w:val="center"/>
        <w:rPr>
          <w:rFonts w:cstheme="minorHAnsi"/>
          <w:i/>
          <w:color w:val="215868" w:themeColor="accent5" w:themeShade="80"/>
          <w:sz w:val="18"/>
          <w:szCs w:val="18"/>
        </w:rPr>
      </w:pPr>
      <w:r w:rsidRPr="00D46AF9">
        <w:rPr>
          <w:rFonts w:cstheme="minorHAnsi"/>
          <w:i/>
          <w:color w:val="215868" w:themeColor="accent5" w:themeShade="80"/>
          <w:sz w:val="18"/>
          <w:szCs w:val="18"/>
        </w:rPr>
        <w:t>Fuente: UAECD. Sistema de Integrado de Información Catastral – SIIC.</w:t>
      </w:r>
    </w:p>
    <w:p w:rsidR="0018557E" w:rsidRPr="004536EF" w:rsidRDefault="0018557E" w:rsidP="0018557E">
      <w:pPr>
        <w:spacing w:after="0" w:line="240" w:lineRule="auto"/>
        <w:jc w:val="center"/>
        <w:rPr>
          <w:rFonts w:asciiTheme="majorHAnsi" w:hAnsiTheme="majorHAnsi" w:cstheme="minorHAnsi"/>
          <w:i/>
          <w:iCs/>
          <w:color w:val="4BACC6" w:themeColor="accent5"/>
          <w:shd w:val="clear" w:color="auto" w:fill="FFFFFF"/>
        </w:rPr>
      </w:pPr>
    </w:p>
    <w:p w:rsidR="0018557E" w:rsidRPr="0018557E" w:rsidRDefault="0018557E" w:rsidP="0018557E">
      <w:pPr>
        <w:autoSpaceDE w:val="0"/>
        <w:autoSpaceDN w:val="0"/>
        <w:adjustRightInd w:val="0"/>
        <w:spacing w:after="0" w:line="240" w:lineRule="auto"/>
        <w:jc w:val="both"/>
        <w:rPr>
          <w:rFonts w:cstheme="minorHAnsi"/>
          <w:color w:val="215868" w:themeColor="accent5" w:themeShade="80"/>
          <w:sz w:val="28"/>
          <w:szCs w:val="28"/>
        </w:rPr>
      </w:pPr>
      <w:r w:rsidRPr="0018557E">
        <w:rPr>
          <w:rFonts w:cstheme="minorHAnsi"/>
          <w:color w:val="215868" w:themeColor="accent5" w:themeShade="80"/>
          <w:sz w:val="28"/>
          <w:szCs w:val="28"/>
        </w:rPr>
        <w:t>Es importante precisar que el valor catastral definido para los predios de la ciudad, está directamente determinado por los porcentajes establecidos por el Consejo Distrital de Política Económica y Fiscal – CONFIS, los cuales para las últimas cinco vigencias son los siguientes:</w:t>
      </w:r>
    </w:p>
    <w:p w:rsidR="0018557E" w:rsidRDefault="0018557E" w:rsidP="0018557E">
      <w:pPr>
        <w:spacing w:after="0" w:line="240" w:lineRule="auto"/>
        <w:jc w:val="both"/>
        <w:rPr>
          <w:rFonts w:asciiTheme="majorHAnsi" w:hAnsiTheme="majorHAnsi"/>
          <w:color w:val="404040" w:themeColor="text1" w:themeTint="BF"/>
          <w:sz w:val="24"/>
          <w:szCs w:val="24"/>
        </w:rPr>
      </w:pPr>
    </w:p>
    <w:tbl>
      <w:tblPr>
        <w:tblStyle w:val="Tablaconcuadrcula4-nfasis11"/>
        <w:tblpPr w:leftFromText="141" w:rightFromText="141" w:vertAnchor="text" w:horzAnchor="page" w:tblpX="1684" w:tblpY="24"/>
        <w:tblW w:w="93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1"/>
        <w:gridCol w:w="1037"/>
        <w:gridCol w:w="1037"/>
        <w:gridCol w:w="1037"/>
        <w:gridCol w:w="1037"/>
        <w:gridCol w:w="1037"/>
        <w:gridCol w:w="1040"/>
      </w:tblGrid>
      <w:tr w:rsidR="0018557E" w:rsidRPr="0018557E" w:rsidTr="001B5238">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3171"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18557E" w:rsidRPr="0018557E" w:rsidRDefault="0018557E" w:rsidP="000F41FF">
            <w:pPr>
              <w:jc w:val="center"/>
              <w:rPr>
                <w:rFonts w:eastAsiaTheme="majorEastAsia" w:cstheme="minorHAnsi"/>
                <w:sz w:val="20"/>
                <w:szCs w:val="20"/>
                <w:lang w:eastAsia="es-CO"/>
              </w:rPr>
            </w:pPr>
            <w:r w:rsidRPr="0018557E">
              <w:rPr>
                <w:rFonts w:eastAsiaTheme="majorEastAsia" w:cstheme="minorHAnsi"/>
                <w:sz w:val="20"/>
                <w:szCs w:val="20"/>
                <w:lang w:eastAsia="es-CO"/>
              </w:rPr>
              <w:t xml:space="preserve">IVIUR </w:t>
            </w:r>
          </w:p>
        </w:tc>
        <w:tc>
          <w:tcPr>
            <w:tcW w:w="6225" w:type="dxa"/>
            <w:gridSpan w:val="6"/>
            <w:tcBorders>
              <w:top w:val="none" w:sz="0" w:space="0" w:color="auto"/>
              <w:left w:val="none" w:sz="0" w:space="0" w:color="auto"/>
              <w:bottom w:val="none" w:sz="0" w:space="0" w:color="auto"/>
              <w:right w:val="none" w:sz="0" w:space="0" w:color="auto"/>
            </w:tcBorders>
            <w:shd w:val="clear" w:color="auto" w:fill="0070C0"/>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rPr>
            </w:pPr>
            <w:r w:rsidRPr="0018557E">
              <w:rPr>
                <w:rFonts w:eastAsiaTheme="majorEastAsia" w:cstheme="minorHAnsi"/>
                <w:b w:val="0"/>
                <w:bCs w:val="0"/>
              </w:rPr>
              <w:t>AÑO DE APROBACIÓN</w:t>
            </w:r>
          </w:p>
        </w:tc>
      </w:tr>
      <w:tr w:rsidR="0018557E" w:rsidRPr="0018557E" w:rsidTr="001B5238">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317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18557E" w:rsidRPr="0018557E" w:rsidRDefault="0018557E" w:rsidP="000F41FF">
            <w:pPr>
              <w:jc w:val="center"/>
              <w:rPr>
                <w:rFonts w:eastAsia="Times New Roman" w:cstheme="minorHAnsi"/>
                <w:sz w:val="20"/>
                <w:szCs w:val="20"/>
                <w:lang w:eastAsia="es-CO"/>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0"/>
                <w:szCs w:val="20"/>
                <w:lang w:eastAsia="es-CO"/>
              </w:rPr>
            </w:pPr>
            <w:r w:rsidRPr="0018557E">
              <w:rPr>
                <w:rFonts w:eastAsiaTheme="majorEastAsia" w:cstheme="minorHAnsi"/>
                <w:b w:val="0"/>
                <w:bCs w:val="0"/>
                <w:sz w:val="20"/>
                <w:szCs w:val="20"/>
                <w:lang w:eastAsia="es-CO"/>
              </w:rPr>
              <w:t>2014</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0"/>
                <w:szCs w:val="20"/>
                <w:lang w:eastAsia="es-CO"/>
              </w:rPr>
            </w:pPr>
            <w:r w:rsidRPr="0018557E">
              <w:rPr>
                <w:rFonts w:eastAsiaTheme="majorEastAsia" w:cstheme="minorHAnsi"/>
                <w:b w:val="0"/>
                <w:bCs w:val="0"/>
                <w:sz w:val="20"/>
                <w:szCs w:val="20"/>
                <w:lang w:eastAsia="es-CO"/>
              </w:rPr>
              <w:t>2015</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0"/>
                <w:szCs w:val="20"/>
                <w:lang w:eastAsia="es-CO"/>
              </w:rPr>
            </w:pPr>
            <w:r w:rsidRPr="0018557E">
              <w:rPr>
                <w:rFonts w:eastAsiaTheme="majorEastAsia" w:cstheme="minorHAnsi"/>
                <w:b w:val="0"/>
                <w:bCs w:val="0"/>
                <w:sz w:val="20"/>
                <w:szCs w:val="20"/>
                <w:lang w:eastAsia="es-CO"/>
              </w:rPr>
              <w:t>2016</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0"/>
                <w:szCs w:val="20"/>
                <w:lang w:eastAsia="es-CO"/>
              </w:rPr>
            </w:pPr>
            <w:r w:rsidRPr="0018557E">
              <w:rPr>
                <w:rFonts w:eastAsiaTheme="majorEastAsia" w:cstheme="minorHAnsi"/>
                <w:b w:val="0"/>
                <w:bCs w:val="0"/>
                <w:sz w:val="20"/>
                <w:szCs w:val="20"/>
                <w:lang w:eastAsia="es-CO"/>
              </w:rPr>
              <w:t>2017</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0"/>
                <w:szCs w:val="20"/>
                <w:lang w:eastAsia="es-CO"/>
              </w:rPr>
            </w:pPr>
            <w:r w:rsidRPr="0018557E">
              <w:rPr>
                <w:rFonts w:eastAsiaTheme="majorEastAsia" w:cstheme="minorHAnsi"/>
                <w:b w:val="0"/>
                <w:bCs w:val="0"/>
                <w:sz w:val="20"/>
                <w:szCs w:val="20"/>
                <w:lang w:eastAsia="es-CO"/>
              </w:rPr>
              <w:t>2018</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tcPr>
          <w:p w:rsidR="0018557E" w:rsidRPr="0018557E" w:rsidRDefault="0018557E" w:rsidP="000F41FF">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0"/>
                <w:szCs w:val="20"/>
                <w:lang w:eastAsia="es-CO"/>
              </w:rPr>
            </w:pPr>
            <w:r w:rsidRPr="0018557E">
              <w:rPr>
                <w:rFonts w:eastAsiaTheme="majorEastAsia" w:cstheme="minorHAnsi"/>
                <w:b w:val="0"/>
                <w:bCs w:val="0"/>
                <w:sz w:val="20"/>
                <w:szCs w:val="20"/>
                <w:lang w:eastAsia="es-CO"/>
              </w:rPr>
              <w:t>2019</w:t>
            </w:r>
          </w:p>
        </w:tc>
      </w:tr>
      <w:tr w:rsidR="0018557E" w:rsidRPr="0018557E" w:rsidTr="001B52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FFFFFF" w:themeColor="background1"/>
            </w:tcBorders>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Residencial 1</w:t>
            </w:r>
          </w:p>
        </w:tc>
        <w:tc>
          <w:tcPr>
            <w:tcW w:w="1037" w:type="dxa"/>
            <w:tcBorders>
              <w:top w:val="single" w:sz="4" w:space="0" w:color="FFFFFF" w:themeColor="background1"/>
            </w:tcBorders>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tcBorders>
              <w:top w:val="single" w:sz="4" w:space="0" w:color="FFFFFF" w:themeColor="background1"/>
            </w:tcBorders>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3,30%</w:t>
            </w:r>
          </w:p>
        </w:tc>
        <w:tc>
          <w:tcPr>
            <w:tcW w:w="1037" w:type="dxa"/>
            <w:tcBorders>
              <w:top w:val="single" w:sz="4" w:space="0" w:color="FFFFFF" w:themeColor="background1"/>
            </w:tcBorders>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tcBorders>
              <w:top w:val="single" w:sz="4" w:space="0" w:color="FFFFFF" w:themeColor="background1"/>
            </w:tcBorders>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tcBorders>
              <w:top w:val="single" w:sz="4" w:space="0" w:color="FFFFFF" w:themeColor="background1"/>
            </w:tcBorders>
            <w:shd w:val="clear" w:color="auto" w:fill="D9D9D9" w:themeFill="background1" w:themeFillShade="D9"/>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tcBorders>
              <w:top w:val="single" w:sz="4" w:space="0" w:color="FFFFFF" w:themeColor="background1"/>
            </w:tcBorders>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Residencial 2</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3,30%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Residencial 3</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3,30%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Residencial 4</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3,80%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5,40%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Residencial 5</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5,60%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5,40%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Residencial 6</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4,10%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5,40%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Comercial</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10,80%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Industrial</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18,60%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10,00%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Lotes (No Edificados)</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26,20%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15,00%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trHeight w:val="264"/>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Otros</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11,00%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12,00%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 xml:space="preserve">Depósitos </w:t>
            </w:r>
            <w:r>
              <w:rPr>
                <w:rFonts w:eastAsiaTheme="majorEastAsia" w:cstheme="minorHAnsi"/>
                <w:b w:val="0"/>
                <w:bCs w:val="0"/>
                <w:color w:val="215868" w:themeColor="accent5" w:themeShade="80"/>
                <w:sz w:val="18"/>
                <w:szCs w:val="20"/>
                <w:lang w:eastAsia="es-CO"/>
              </w:rPr>
              <w:t>y</w:t>
            </w:r>
            <w:r w:rsidRPr="000C24D2">
              <w:rPr>
                <w:rFonts w:eastAsiaTheme="majorEastAsia" w:cstheme="minorHAnsi"/>
                <w:b w:val="0"/>
                <w:bCs w:val="0"/>
                <w:color w:val="215868" w:themeColor="accent5" w:themeShade="80"/>
                <w:sz w:val="18"/>
                <w:szCs w:val="20"/>
                <w:lang w:eastAsia="es-CO"/>
              </w:rPr>
              <w:t xml:space="preserve"> Parqueaderos</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19,80%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17,00%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8,80%</w:t>
            </w:r>
          </w:p>
        </w:tc>
        <w:tc>
          <w:tcPr>
            <w:tcW w:w="1037" w:type="dxa"/>
            <w:shd w:val="clear" w:color="auto" w:fill="D9D9D9" w:themeFill="background1" w:themeFillShade="D9"/>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6,61%</w:t>
            </w:r>
          </w:p>
        </w:tc>
        <w:tc>
          <w:tcPr>
            <w:tcW w:w="1037" w:type="dxa"/>
            <w:shd w:val="clear" w:color="auto" w:fill="D9D9D9" w:themeFill="background1" w:themeFillShade="D9"/>
            <w:noWrap/>
          </w:tcPr>
          <w:p w:rsidR="0018557E" w:rsidRPr="000C24D2" w:rsidRDefault="0018557E" w:rsidP="000F41F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4,20%</w:t>
            </w:r>
          </w:p>
        </w:tc>
      </w:tr>
      <w:tr w:rsidR="0018557E" w:rsidRPr="0018557E" w:rsidTr="001B5238">
        <w:trPr>
          <w:trHeight w:val="281"/>
        </w:trPr>
        <w:tc>
          <w:tcPr>
            <w:cnfStyle w:val="001000000000" w:firstRow="0" w:lastRow="0" w:firstColumn="1" w:lastColumn="0" w:oddVBand="0" w:evenVBand="0" w:oddHBand="0" w:evenHBand="0" w:firstRowFirstColumn="0" w:firstRowLastColumn="0" w:lastRowFirstColumn="0" w:lastRowLastColumn="0"/>
            <w:tcW w:w="3171" w:type="dxa"/>
            <w:shd w:val="clear" w:color="auto" w:fill="D9D9D9" w:themeFill="background1" w:themeFillShade="D9"/>
            <w:noWrap/>
            <w:hideMark/>
          </w:tcPr>
          <w:p w:rsidR="0018557E" w:rsidRPr="000C24D2" w:rsidRDefault="000C24D2" w:rsidP="000F41FF">
            <w:pPr>
              <w:rPr>
                <w:rFonts w:eastAsiaTheme="majorEastAsia" w:cstheme="minorHAnsi"/>
                <w:b w:val="0"/>
                <w:bCs w:val="0"/>
                <w:color w:val="215868" w:themeColor="accent5" w:themeShade="80"/>
                <w:sz w:val="18"/>
                <w:szCs w:val="20"/>
                <w:lang w:eastAsia="es-CO"/>
              </w:rPr>
            </w:pPr>
            <w:r w:rsidRPr="000C24D2">
              <w:rPr>
                <w:rFonts w:eastAsiaTheme="majorEastAsia" w:cstheme="minorHAnsi"/>
                <w:b w:val="0"/>
                <w:bCs w:val="0"/>
                <w:color w:val="215868" w:themeColor="accent5" w:themeShade="80"/>
                <w:sz w:val="18"/>
                <w:szCs w:val="20"/>
                <w:lang w:eastAsia="es-CO"/>
              </w:rPr>
              <w:t>Rural</w:t>
            </w:r>
          </w:p>
        </w:tc>
        <w:tc>
          <w:tcPr>
            <w:tcW w:w="1037" w:type="dxa"/>
            <w:shd w:val="clear" w:color="auto" w:fill="D9D9D9" w:themeFill="background1" w:themeFillShade="D9"/>
            <w:noWrap/>
          </w:tcPr>
          <w:p w:rsidR="0018557E" w:rsidRPr="000C24D2" w:rsidRDefault="0018557E" w:rsidP="000F41FF">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 xml:space="preserve"> </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7,00%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3,00%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2,30%</w:t>
            </w:r>
          </w:p>
        </w:tc>
        <w:tc>
          <w:tcPr>
            <w:tcW w:w="1037" w:type="dxa"/>
            <w:shd w:val="clear" w:color="auto" w:fill="D9D9D9" w:themeFill="background1" w:themeFillShade="D9"/>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rPr>
            </w:pPr>
            <w:r w:rsidRPr="000C24D2">
              <w:rPr>
                <w:rFonts w:eastAsiaTheme="majorEastAsia" w:cstheme="minorHAnsi"/>
                <w:color w:val="215868" w:themeColor="accent5" w:themeShade="80"/>
              </w:rPr>
              <w:t>-2,70%</w:t>
            </w:r>
          </w:p>
        </w:tc>
        <w:tc>
          <w:tcPr>
            <w:tcW w:w="1037" w:type="dxa"/>
            <w:shd w:val="clear" w:color="auto" w:fill="D9D9D9" w:themeFill="background1" w:themeFillShade="D9"/>
            <w:noWrap/>
          </w:tcPr>
          <w:p w:rsidR="0018557E" w:rsidRPr="000C24D2" w:rsidRDefault="0018557E" w:rsidP="000F41FF">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215868" w:themeColor="accent5" w:themeShade="80"/>
                <w:sz w:val="20"/>
                <w:szCs w:val="20"/>
                <w:lang w:eastAsia="es-CO"/>
              </w:rPr>
            </w:pPr>
            <w:r w:rsidRPr="000C24D2">
              <w:rPr>
                <w:rFonts w:eastAsiaTheme="majorEastAsia" w:cstheme="minorHAnsi"/>
                <w:color w:val="215868" w:themeColor="accent5" w:themeShade="80"/>
              </w:rPr>
              <w:t>-2,30%</w:t>
            </w:r>
          </w:p>
        </w:tc>
      </w:tr>
    </w:tbl>
    <w:p w:rsidR="0018557E" w:rsidRPr="00D46AF9" w:rsidRDefault="0018557E" w:rsidP="0018557E">
      <w:pPr>
        <w:spacing w:after="0" w:line="240" w:lineRule="auto"/>
        <w:jc w:val="center"/>
        <w:rPr>
          <w:rFonts w:eastAsia="Times New Roman" w:cstheme="minorHAnsi"/>
          <w:i/>
          <w:iCs/>
          <w:color w:val="215868" w:themeColor="accent5" w:themeShade="80"/>
          <w:sz w:val="18"/>
          <w:szCs w:val="18"/>
          <w:lang w:eastAsia="es-CO"/>
        </w:rPr>
      </w:pPr>
      <w:r w:rsidRPr="00D46AF9">
        <w:rPr>
          <w:rFonts w:cstheme="minorHAnsi"/>
          <w:i/>
          <w:iCs/>
          <w:color w:val="215868" w:themeColor="accent5" w:themeShade="80"/>
          <w:sz w:val="18"/>
          <w:szCs w:val="18"/>
        </w:rPr>
        <w:t>Tabla. IVIUR aprobado por el CONFIS en 2014 a 2019 (para ser aplicado para las vigencias 2015 a 2020, por uso predominante residencial y grupos de destino económico no residencial</w:t>
      </w:r>
      <w:r w:rsidRPr="00D46AF9">
        <w:rPr>
          <w:rFonts w:eastAsia="Times New Roman" w:cstheme="minorHAnsi"/>
          <w:i/>
          <w:iCs/>
          <w:color w:val="215868" w:themeColor="accent5" w:themeShade="80"/>
          <w:sz w:val="18"/>
          <w:szCs w:val="18"/>
          <w:lang w:eastAsia="es-CO"/>
        </w:rPr>
        <w:t xml:space="preserve"> </w:t>
      </w:r>
    </w:p>
    <w:p w:rsidR="0018557E" w:rsidRPr="00D46AF9" w:rsidRDefault="0018557E" w:rsidP="0018557E">
      <w:pPr>
        <w:spacing w:after="0" w:line="240" w:lineRule="auto"/>
        <w:jc w:val="center"/>
        <w:rPr>
          <w:rFonts w:eastAsia="Times New Roman" w:cstheme="minorHAnsi"/>
          <w:i/>
          <w:color w:val="215868" w:themeColor="accent5" w:themeShade="80"/>
          <w:sz w:val="18"/>
          <w:szCs w:val="18"/>
          <w:lang w:eastAsia="es-CO"/>
        </w:rPr>
      </w:pPr>
      <w:r w:rsidRPr="00D46AF9">
        <w:rPr>
          <w:rFonts w:eastAsia="Times New Roman" w:cstheme="minorHAnsi"/>
          <w:i/>
          <w:color w:val="215868" w:themeColor="accent5" w:themeShade="80"/>
          <w:sz w:val="18"/>
          <w:szCs w:val="18"/>
          <w:lang w:eastAsia="es-CO"/>
        </w:rPr>
        <w:t>Fuente: Actas CONFIS correspondientes a cada vigencia</w:t>
      </w:r>
    </w:p>
    <w:p w:rsidR="0018557E" w:rsidRPr="000C24D2" w:rsidRDefault="0018557E" w:rsidP="0018557E">
      <w:pPr>
        <w:pStyle w:val="Textonotapie"/>
        <w:jc w:val="both"/>
        <w:rPr>
          <w:rFonts w:cstheme="minorHAnsi"/>
          <w:i/>
          <w:iCs/>
          <w:color w:val="215868" w:themeColor="accent5" w:themeShade="80"/>
          <w:sz w:val="18"/>
          <w:szCs w:val="18"/>
        </w:rPr>
      </w:pPr>
    </w:p>
    <w:p w:rsidR="0018557E" w:rsidRDefault="0018557E">
      <w:pPr>
        <w:rPr>
          <w:rFonts w:cstheme="minorHAnsi"/>
          <w:color w:val="215868" w:themeColor="accent5" w:themeShade="80"/>
          <w:sz w:val="28"/>
          <w:szCs w:val="28"/>
        </w:rPr>
      </w:pPr>
      <w:r>
        <w:rPr>
          <w:rFonts w:cstheme="minorHAnsi"/>
          <w:color w:val="215868" w:themeColor="accent5" w:themeShade="80"/>
          <w:sz w:val="28"/>
          <w:szCs w:val="28"/>
        </w:rPr>
        <w:br w:type="page"/>
      </w:r>
    </w:p>
    <w:p w:rsidR="0018557E" w:rsidRPr="0018557E" w:rsidRDefault="0018557E" w:rsidP="00797D7D">
      <w:pPr>
        <w:spacing w:after="0"/>
        <w:ind w:left="-567"/>
        <w:jc w:val="both"/>
        <w:rPr>
          <w:rFonts w:cstheme="minorHAnsi"/>
          <w:color w:val="215868" w:themeColor="accent5" w:themeShade="80"/>
          <w:sz w:val="28"/>
          <w:szCs w:val="28"/>
        </w:rPr>
      </w:pPr>
    </w:p>
    <w:p w:rsidR="00482949" w:rsidRPr="00482949" w:rsidRDefault="00482949" w:rsidP="001B5238">
      <w:pPr>
        <w:spacing w:after="0"/>
        <w:jc w:val="both"/>
        <w:rPr>
          <w:rFonts w:cstheme="minorHAnsi"/>
          <w:b/>
          <w:color w:val="215868" w:themeColor="accent5" w:themeShade="80"/>
          <w:sz w:val="28"/>
          <w:szCs w:val="28"/>
        </w:rPr>
      </w:pPr>
      <w:r w:rsidRPr="00482949">
        <w:rPr>
          <w:rFonts w:cstheme="minorHAnsi"/>
          <w:b/>
          <w:color w:val="215868" w:themeColor="accent5" w:themeShade="80"/>
          <w:sz w:val="28"/>
          <w:szCs w:val="28"/>
        </w:rPr>
        <w:t>Logros que ameritan ser resaltados en la vigencia 201</w:t>
      </w:r>
      <w:r w:rsidR="0018557E">
        <w:rPr>
          <w:rFonts w:cstheme="minorHAnsi"/>
          <w:b/>
          <w:color w:val="215868" w:themeColor="accent5" w:themeShade="80"/>
          <w:sz w:val="28"/>
          <w:szCs w:val="28"/>
        </w:rPr>
        <w:t>9</w:t>
      </w:r>
    </w:p>
    <w:p w:rsidR="00482949" w:rsidRPr="00482949" w:rsidRDefault="00482949" w:rsidP="00797D7D">
      <w:pPr>
        <w:spacing w:after="0"/>
        <w:ind w:left="-567"/>
        <w:jc w:val="both"/>
        <w:rPr>
          <w:rFonts w:cstheme="minorHAnsi"/>
          <w:color w:val="215868" w:themeColor="accent5" w:themeShade="80"/>
          <w:sz w:val="28"/>
          <w:szCs w:val="28"/>
        </w:rPr>
      </w:pPr>
    </w:p>
    <w:p w:rsidR="00797D7D" w:rsidRDefault="00482949" w:rsidP="001B5238">
      <w:pPr>
        <w:spacing w:after="0"/>
        <w:jc w:val="both"/>
        <w:rPr>
          <w:rFonts w:cstheme="minorHAnsi"/>
          <w:color w:val="215868" w:themeColor="accent5" w:themeShade="80"/>
          <w:sz w:val="28"/>
          <w:szCs w:val="28"/>
        </w:rPr>
      </w:pPr>
      <w:r w:rsidRPr="00482949">
        <w:rPr>
          <w:rFonts w:cstheme="minorHAnsi"/>
          <w:color w:val="215868" w:themeColor="accent5" w:themeShade="80"/>
          <w:sz w:val="28"/>
          <w:szCs w:val="28"/>
        </w:rPr>
        <w:t>Los principales avances del Censo Inmobiliario de Bogotá para la vigencia 201</w:t>
      </w:r>
      <w:r w:rsidR="0018557E">
        <w:rPr>
          <w:rFonts w:cstheme="minorHAnsi"/>
          <w:color w:val="215868" w:themeColor="accent5" w:themeShade="80"/>
          <w:sz w:val="28"/>
          <w:szCs w:val="28"/>
        </w:rPr>
        <w:t>9</w:t>
      </w:r>
      <w:r w:rsidRPr="00482949">
        <w:rPr>
          <w:rFonts w:cstheme="minorHAnsi"/>
          <w:color w:val="215868" w:themeColor="accent5" w:themeShade="80"/>
          <w:sz w:val="28"/>
          <w:szCs w:val="28"/>
        </w:rPr>
        <w:t xml:space="preserve">, fueron: </w:t>
      </w:r>
    </w:p>
    <w:p w:rsidR="0018557E" w:rsidRDefault="0018557E" w:rsidP="001B5238">
      <w:pPr>
        <w:spacing w:after="0"/>
        <w:jc w:val="both"/>
        <w:rPr>
          <w:rFonts w:cstheme="minorHAnsi"/>
          <w:color w:val="215868" w:themeColor="accent5" w:themeShade="80"/>
          <w:sz w:val="28"/>
          <w:szCs w:val="28"/>
        </w:rPr>
      </w:pPr>
    </w:p>
    <w:p w:rsidR="0018557E" w:rsidRPr="0018557E" w:rsidRDefault="0018557E" w:rsidP="009E2852">
      <w:pPr>
        <w:numPr>
          <w:ilvl w:val="0"/>
          <w:numId w:val="8"/>
        </w:numPr>
        <w:spacing w:after="0" w:line="240" w:lineRule="auto"/>
        <w:ind w:left="426"/>
        <w:contextualSpacing/>
        <w:jc w:val="both"/>
        <w:textAlignment w:val="baseline"/>
        <w:rPr>
          <w:rFonts w:cstheme="minorHAnsi"/>
          <w:color w:val="215868" w:themeColor="accent5" w:themeShade="80"/>
          <w:sz w:val="28"/>
          <w:szCs w:val="28"/>
        </w:rPr>
      </w:pPr>
      <w:r w:rsidRPr="0018557E">
        <w:rPr>
          <w:rFonts w:cstheme="minorHAnsi"/>
          <w:color w:val="215868" w:themeColor="accent5" w:themeShade="80"/>
          <w:sz w:val="28"/>
          <w:szCs w:val="28"/>
        </w:rPr>
        <w:t xml:space="preserve">Actualización anualmente el 100% del área urbana de Bogotá en cada una de las vigencias y actualización del 100% del área rural de Bogotá durante el cuatrienio. De esta forma, el Distrito Capital se consolida como único ente territorial en Colombia que sistemáticamente cuenta con su información inmobiliaria actualizada. </w:t>
      </w:r>
    </w:p>
    <w:p w:rsidR="0018557E" w:rsidRPr="0018557E" w:rsidRDefault="0018557E" w:rsidP="009E2852">
      <w:pPr>
        <w:numPr>
          <w:ilvl w:val="0"/>
          <w:numId w:val="8"/>
        </w:numPr>
        <w:spacing w:after="0" w:line="240" w:lineRule="auto"/>
        <w:ind w:left="426" w:hanging="357"/>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 xml:space="preserve">Incorporación de nuevas fuentes secundarias determinantes de cambios físicos, entre las cuales se encuentran: </w:t>
      </w:r>
    </w:p>
    <w:p w:rsidR="0018557E" w:rsidRPr="0018557E" w:rsidRDefault="0018557E" w:rsidP="009E2852">
      <w:pPr>
        <w:pStyle w:val="Prrafodelista"/>
        <w:numPr>
          <w:ilvl w:val="0"/>
          <w:numId w:val="9"/>
        </w:numPr>
        <w:spacing w:after="0" w:line="240" w:lineRule="auto"/>
        <w:ind w:left="426" w:hanging="357"/>
        <w:rPr>
          <w:rFonts w:cstheme="minorHAnsi"/>
          <w:color w:val="215868" w:themeColor="accent5" w:themeShade="80"/>
          <w:sz w:val="28"/>
          <w:szCs w:val="28"/>
        </w:rPr>
      </w:pPr>
      <w:r w:rsidRPr="0018557E">
        <w:rPr>
          <w:rFonts w:cstheme="minorHAnsi"/>
          <w:color w:val="215868" w:themeColor="accent5" w:themeShade="80"/>
          <w:sz w:val="28"/>
          <w:szCs w:val="28"/>
        </w:rPr>
        <w:t xml:space="preserve">Base estructurada de obras del Censo Inmobiliario del DANE. </w:t>
      </w:r>
    </w:p>
    <w:p w:rsidR="0018557E" w:rsidRPr="0018557E" w:rsidRDefault="0018557E" w:rsidP="009E2852">
      <w:pPr>
        <w:numPr>
          <w:ilvl w:val="0"/>
          <w:numId w:val="9"/>
        </w:numPr>
        <w:spacing w:after="0" w:line="240" w:lineRule="auto"/>
        <w:ind w:left="426" w:hanging="357"/>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Registro de establecimientos de la Cámara de Comercio de Bogotá.</w:t>
      </w:r>
    </w:p>
    <w:p w:rsidR="0018557E" w:rsidRPr="0018557E" w:rsidRDefault="0018557E" w:rsidP="009E2852">
      <w:pPr>
        <w:numPr>
          <w:ilvl w:val="0"/>
          <w:numId w:val="9"/>
        </w:numPr>
        <w:spacing w:after="0" w:line="240" w:lineRule="auto"/>
        <w:ind w:left="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Fotografías horizontales de fachadas con cubrimiento de 360 grados.</w:t>
      </w:r>
    </w:p>
    <w:p w:rsidR="0018557E" w:rsidRPr="0018557E" w:rsidRDefault="0018557E" w:rsidP="009E2852">
      <w:pPr>
        <w:numPr>
          <w:ilvl w:val="0"/>
          <w:numId w:val="9"/>
        </w:numPr>
        <w:spacing w:after="0" w:line="240" w:lineRule="auto"/>
        <w:ind w:left="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 xml:space="preserve">Diferencia de alturas de las construcciones con base en datos LIDAR. </w:t>
      </w:r>
    </w:p>
    <w:p w:rsidR="0018557E" w:rsidRPr="0018557E" w:rsidRDefault="0018557E" w:rsidP="001B5238">
      <w:pPr>
        <w:spacing w:after="0" w:line="240" w:lineRule="auto"/>
        <w:contextualSpacing/>
        <w:jc w:val="both"/>
        <w:rPr>
          <w:rFonts w:cstheme="minorHAnsi"/>
          <w:color w:val="215868" w:themeColor="accent5" w:themeShade="80"/>
          <w:sz w:val="28"/>
          <w:szCs w:val="28"/>
        </w:rPr>
      </w:pPr>
    </w:p>
    <w:p w:rsidR="0018557E" w:rsidRPr="0018557E" w:rsidRDefault="0018557E" w:rsidP="001B5238">
      <w:pPr>
        <w:spacing w:after="0" w:line="240" w:lineRule="auto"/>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Como resultado, la efectividad en la identificación de cambios físicos pasó de 58% en la vigencia 2018 a 90% para la vigencia 2020.</w:t>
      </w:r>
    </w:p>
    <w:p w:rsidR="0018557E" w:rsidRPr="0018557E" w:rsidRDefault="0018557E" w:rsidP="001B5238">
      <w:pPr>
        <w:spacing w:after="0" w:line="240" w:lineRule="auto"/>
        <w:contextualSpacing/>
        <w:jc w:val="both"/>
        <w:rPr>
          <w:rFonts w:cstheme="minorHAnsi"/>
          <w:color w:val="215868" w:themeColor="accent5" w:themeShade="80"/>
          <w:sz w:val="28"/>
          <w:szCs w:val="28"/>
        </w:rPr>
      </w:pPr>
    </w:p>
    <w:p w:rsidR="0018557E" w:rsidRPr="0018557E" w:rsidRDefault="0018557E" w:rsidP="009E2852">
      <w:pPr>
        <w:numPr>
          <w:ilvl w:val="0"/>
          <w:numId w:val="8"/>
        </w:numPr>
        <w:spacing w:after="0" w:line="240" w:lineRule="auto"/>
        <w:ind w:left="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Implementación de algoritmos de cruce de información secundaria que permitieron el aumento en la efectividad esperada de cada fuente.</w:t>
      </w:r>
    </w:p>
    <w:p w:rsidR="0018557E" w:rsidRPr="0018557E" w:rsidRDefault="0018557E" w:rsidP="009E2852">
      <w:pPr>
        <w:numPr>
          <w:ilvl w:val="0"/>
          <w:numId w:val="8"/>
        </w:numPr>
        <w:spacing w:after="0" w:line="240" w:lineRule="auto"/>
        <w:ind w:left="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Gestión con el Departamento Nacional de Estadística - DANE para la entrega de la base de datos del Censo de Edificaciones a nivel manzana, mejorando el nivel de detalle manejado para esta fuente en años anteriores.</w:t>
      </w:r>
    </w:p>
    <w:p w:rsidR="0018557E" w:rsidRPr="0018557E" w:rsidRDefault="0018557E" w:rsidP="009E2852">
      <w:pPr>
        <w:numPr>
          <w:ilvl w:val="0"/>
          <w:numId w:val="8"/>
        </w:numPr>
        <w:spacing w:after="0" w:line="240" w:lineRule="auto"/>
        <w:ind w:left="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Implementación del aplicativo Capturador en Terreno (CT), para el registro de las fichas de reconocimiento predial con control de dato único entre el área construida de la base cartográfica y la base alfanumérica y su control de calidad. Esta herramienta desarrollada inhouse, ha permitido a la entidad un ahorro aproximado de $700 millones anuales, correspondiente al costo de arrendamiento de los dispositivos y software de captura.</w:t>
      </w:r>
    </w:p>
    <w:p w:rsidR="0018557E" w:rsidRPr="0018557E" w:rsidRDefault="0018557E" w:rsidP="009E2852">
      <w:pPr>
        <w:numPr>
          <w:ilvl w:val="0"/>
          <w:numId w:val="8"/>
        </w:numPr>
        <w:spacing w:after="0" w:line="240" w:lineRule="auto"/>
        <w:ind w:left="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Aumento en un 194% en el número de predios con dinámica originados por el pre-reconocimiento pasando de 6.376 para la vigencia 2017 a 18.808 para la vigencia 2020.</w:t>
      </w:r>
    </w:p>
    <w:p w:rsidR="0018557E" w:rsidRPr="0018557E"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 xml:space="preserve">Incremento en un 40% la cantidad de predios identificados con dinámica física por reconocimiento, pasando de 30.034 para la vigencia 2017 a 41.955 para la vigencia 2020. </w:t>
      </w:r>
    </w:p>
    <w:p w:rsidR="0018557E" w:rsidRPr="0018557E"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Actualización del convenio suscrito con la SNR para la optimización de la interrelación Catastro – Registro. En dicho documento se establecieron tiempos de entrega de la información, se incluyó el suministro del valor de las transacciones de transferencia de dominio por parte de la SNR, la disposición de escrituras digitalizadas soporte de la segregación de predios y se actualizó la estructura de los archivos planos para el procesamiento de los datos.</w:t>
      </w:r>
    </w:p>
    <w:p w:rsidR="0018557E" w:rsidRPr="0018557E"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Optimización el proceso de actualización jurídica masiva al incorporar nuevas naturalezas jurídicas correspondientes a trasferencia de dominio definidas por Superintendencia de Notariado y Registro - SNR e incorporación de actualización de propietarios con tipo de documento secuencial; permitiendo aumentar en un 15% el promedio anual de predios actualizados 5.532 en el año 2017 respecto a 6.352 en el año 2018.</w:t>
      </w:r>
    </w:p>
    <w:p w:rsidR="0018557E" w:rsidRPr="0018557E"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Interrelación entre la base catastral y la SNR del 99,4%, lo que permite que los propietarios y ciudadanos encuentren en el folio de matrícula inmobiliaria datos catastrales de identificación como CHIP y nomenclatura vial oficial y en la base catastral se encuentre la matrícula inmobiliaria y datos jurídicos actualizados del predio. Se automatizó el cruce de las bases de datos lo que disminuye el riesgo de error humano y se implementan criterios objetivos y universales.</w:t>
      </w:r>
    </w:p>
    <w:p w:rsidR="0018557E" w:rsidRPr="0018557E"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Implementación del Módulo de Segregados, mediante el cual se identifican los predios segregados que no se encuentran inscritos en la base catastral, se realiza la radicación y se provee por parte de la Superintendencia de Notariado y Registro - SNR en formato digital las escrituras requeridas para realizar el trámite. Este módulo permite la incorporación oportuna de predios nuevos en la base catastral, así como la trazabilidad de aquellos no incorporados con la justificación respectiva, para su seguimiento y control.</w:t>
      </w:r>
    </w:p>
    <w:p w:rsidR="000C24D2"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18557E">
        <w:rPr>
          <w:rFonts w:cstheme="minorHAnsi"/>
          <w:color w:val="215868" w:themeColor="accent5" w:themeShade="80"/>
          <w:sz w:val="28"/>
          <w:szCs w:val="28"/>
        </w:rPr>
        <w:t>Incremento del número de ofertas de mercado utilizadas para la determinación de los avalúos catastrales, pasando de 21.270 en el 2016 a 53.603 en el 2019, como resultado de la gestión realizada para el suministro de avalúos, ofertas y transacciones por parte del Fondo Nacional del Ahorro, Galería Inmobiliaria y Superintendencia de Notariado y Registro, respectivamente. Igualmente, en el mes de noviembre de 2019, se suscribió el convenio con el Banco Davivienda, contando así, con una fuente adicional de información, así como a la mejora en el aplicativo FOCA, con lo cual se logra una mayor precisión en dicha determinación.</w:t>
      </w:r>
    </w:p>
    <w:p w:rsidR="000C24D2"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0C24D2">
        <w:rPr>
          <w:rFonts w:cstheme="minorHAnsi"/>
          <w:color w:val="215868" w:themeColor="accent5" w:themeShade="80"/>
          <w:sz w:val="28"/>
          <w:szCs w:val="28"/>
        </w:rPr>
        <w:t xml:space="preserve">Automatización del proceso de liquidación a través de la implementación del módulo de Liquidación de Avalúos Catastrales, que incluye la parametrización, cargue de información, liquidación, sensibilidad (análisis alfanumérico y cartográfico), y aprobación de valores. Esta herramienta permite la trazabilidad, control y seguimiento del proceso de cálculo de los avalúos catastrales. </w:t>
      </w:r>
    </w:p>
    <w:p w:rsidR="0018557E" w:rsidRPr="000C24D2" w:rsidRDefault="0018557E" w:rsidP="009E2852">
      <w:pPr>
        <w:numPr>
          <w:ilvl w:val="0"/>
          <w:numId w:val="8"/>
        </w:numPr>
        <w:spacing w:after="0" w:line="240" w:lineRule="auto"/>
        <w:ind w:left="426" w:hanging="426"/>
        <w:contextualSpacing/>
        <w:jc w:val="both"/>
        <w:rPr>
          <w:rFonts w:cstheme="minorHAnsi"/>
          <w:color w:val="215868" w:themeColor="accent5" w:themeShade="80"/>
          <w:sz w:val="28"/>
          <w:szCs w:val="28"/>
        </w:rPr>
      </w:pPr>
      <w:r w:rsidRPr="000C24D2">
        <w:rPr>
          <w:rFonts w:cstheme="minorHAnsi"/>
          <w:color w:val="215868" w:themeColor="accent5" w:themeShade="80"/>
          <w:sz w:val="28"/>
          <w:szCs w:val="28"/>
        </w:rPr>
        <w:t>Entrega de manera anticipada, antes del 17 de diciembre de cada año, la base catastral a la Secretaría Distrital de Hacienda que constituye el insumo principal para la liquidación del impuesto Predial Unificado.</w:t>
      </w:r>
    </w:p>
    <w:p w:rsidR="0018557E" w:rsidRPr="00482949" w:rsidRDefault="0018557E" w:rsidP="0018557E">
      <w:pPr>
        <w:spacing w:after="0"/>
        <w:ind w:left="-567"/>
        <w:jc w:val="both"/>
        <w:rPr>
          <w:rFonts w:cstheme="minorHAnsi"/>
          <w:color w:val="215868" w:themeColor="accent5" w:themeShade="80"/>
          <w:sz w:val="28"/>
          <w:szCs w:val="28"/>
        </w:rPr>
      </w:pPr>
    </w:p>
    <w:p w:rsidR="0071792A" w:rsidRPr="00505859" w:rsidRDefault="0071792A" w:rsidP="009E2852">
      <w:pPr>
        <w:pStyle w:val="Prrafodelista"/>
        <w:numPr>
          <w:ilvl w:val="2"/>
          <w:numId w:val="4"/>
        </w:numPr>
        <w:ind w:left="709"/>
        <w:jc w:val="both"/>
        <w:rPr>
          <w:rFonts w:cstheme="minorHAnsi"/>
          <w:b/>
          <w:color w:val="215868" w:themeColor="accent5" w:themeShade="80"/>
          <w:sz w:val="28"/>
          <w:szCs w:val="28"/>
        </w:rPr>
      </w:pPr>
      <w:r w:rsidRPr="00505859">
        <w:rPr>
          <w:rFonts w:cstheme="minorHAnsi"/>
          <w:b/>
          <w:color w:val="215868" w:themeColor="accent5" w:themeShade="80"/>
          <w:sz w:val="28"/>
          <w:szCs w:val="28"/>
        </w:rPr>
        <w:t>Información Geoespacial al servicio del Ciudadano (Infraestructura de Datos Espaciales de Bogotá - IDECA):</w:t>
      </w:r>
    </w:p>
    <w:p w:rsidR="0071792A" w:rsidRPr="00272A71" w:rsidRDefault="0071792A" w:rsidP="000C24D2">
      <w:pPr>
        <w:jc w:val="both"/>
        <w:rPr>
          <w:rFonts w:cstheme="minorHAnsi"/>
          <w:color w:val="215868" w:themeColor="accent5" w:themeShade="80"/>
          <w:sz w:val="28"/>
          <w:szCs w:val="28"/>
        </w:rPr>
      </w:pPr>
      <w:r w:rsidRPr="00272A71">
        <w:rPr>
          <w:rFonts w:cstheme="minorHAnsi"/>
          <w:color w:val="215868" w:themeColor="accent5" w:themeShade="80"/>
          <w:sz w:val="28"/>
          <w:szCs w:val="28"/>
        </w:rPr>
        <w:t>Este componente de inversión contempla el fortalecimiento de la Infraestructura de Datos Espaciales de Bogotá como elemento estructurador de la información geoespacial del Distrito y la región, para disponerla al servicio de la Administración Distrital, regional y la ciudadanía, contemplando no sólo esquemas de administración de datos regidos por políticas y estándares de calidad, sino la incorporación de tecnologías y la generación de servicios que conduzcan a la interoperabilidad de los datos, su disposición, acceso y uso por parte de la Comunidad Distrital y la región, con el fin de mejorar las posibilidades de integración, análisis y visualización e impulsar la generación de nuevos niveles de información.</w:t>
      </w:r>
    </w:p>
    <w:p w:rsidR="00E554AF" w:rsidRDefault="001F126C" w:rsidP="000C24D2">
      <w:pPr>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Conforme a la meta del Plan de Desarrollo Distrital 2016-2020 Bogotá Mejor para Todos “Ampliar en un 300% la información geográfica disponible a través de IDECA”, con la cual se busca mejorar e impulsar la generación de nuevos productos y servicios, reducir costos de producción, aumentar la eficiencia institucional y apoyar las necesidades misionales de las entidades que hacen parte de la comunidad IDECA, </w:t>
      </w:r>
      <w:r w:rsidR="000F41FF">
        <w:rPr>
          <w:rFonts w:cstheme="minorHAnsi"/>
          <w:color w:val="215868" w:themeColor="accent5" w:themeShade="80"/>
          <w:sz w:val="28"/>
          <w:szCs w:val="28"/>
        </w:rPr>
        <w:t>la Unidad logró ampliar la información disponible en IDECA en un 356,57% en la vigencia 2018, con 208 nuevos niveles de información, y que gracias a la gestión adelantada, a 31 de diciembre de 2019 se dispusieron en total 339 niveles de información geográfica</w:t>
      </w:r>
      <w:r w:rsidRPr="00272A71">
        <w:rPr>
          <w:rFonts w:cstheme="minorHAnsi"/>
          <w:color w:val="215868" w:themeColor="accent5" w:themeShade="80"/>
          <w:sz w:val="28"/>
          <w:szCs w:val="28"/>
        </w:rPr>
        <w:t xml:space="preserve"> proveniente de diferentes entidades productoras del distrito en temas relacionados con catastro, educación, salud, actividad económica, infraestructura, servicios públicos y norma urbanística. </w:t>
      </w:r>
    </w:p>
    <w:p w:rsidR="000F41FF" w:rsidRDefault="000F41FF" w:rsidP="000C24D2">
      <w:pPr>
        <w:spacing w:after="0" w:line="240" w:lineRule="auto"/>
        <w:jc w:val="center"/>
      </w:pPr>
      <w:r>
        <w:rPr>
          <w:noProof/>
        </w:rPr>
        <w:drawing>
          <wp:inline distT="0" distB="0" distL="0" distR="0" wp14:anchorId="33439E81" wp14:editId="44248425">
            <wp:extent cx="6010536" cy="2443277"/>
            <wp:effectExtent l="0" t="0" r="0" b="0"/>
            <wp:docPr id="877312903" name="Imagen 88841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8419335"/>
                    <pic:cNvPicPr/>
                  </pic:nvPicPr>
                  <pic:blipFill rotWithShape="1">
                    <a:blip r:embed="rId12">
                      <a:extLst>
                        <a:ext uri="{28A0092B-C50C-407E-A947-70E740481C1C}">
                          <a14:useLocalDpi xmlns:a14="http://schemas.microsoft.com/office/drawing/2010/main" val="0"/>
                        </a:ext>
                      </a:extLst>
                    </a:blip>
                    <a:srcRect b="-3950"/>
                    <a:stretch/>
                  </pic:blipFill>
                  <pic:spPr bwMode="auto">
                    <a:xfrm>
                      <a:off x="0" y="0"/>
                      <a:ext cx="6062413" cy="2464365"/>
                    </a:xfrm>
                    <a:prstGeom prst="rect">
                      <a:avLst/>
                    </a:prstGeom>
                    <a:ln>
                      <a:noFill/>
                    </a:ln>
                    <a:extLst>
                      <a:ext uri="{53640926-AAD7-44D8-BBD7-CCE9431645EC}">
                        <a14:shadowObscured xmlns:a14="http://schemas.microsoft.com/office/drawing/2010/main"/>
                      </a:ext>
                    </a:extLst>
                  </pic:spPr>
                </pic:pic>
              </a:graphicData>
            </a:graphic>
          </wp:inline>
        </w:drawing>
      </w:r>
    </w:p>
    <w:p w:rsidR="000F41FF" w:rsidRPr="00D46AF9" w:rsidRDefault="000F41FF" w:rsidP="000F41FF">
      <w:pPr>
        <w:spacing w:after="0" w:line="240" w:lineRule="auto"/>
        <w:jc w:val="center"/>
        <w:rPr>
          <w:rFonts w:cstheme="minorHAnsi"/>
          <w:i/>
          <w:color w:val="215868" w:themeColor="accent5" w:themeShade="80"/>
          <w:sz w:val="18"/>
          <w:szCs w:val="18"/>
        </w:rPr>
      </w:pPr>
      <w:r w:rsidRPr="00D46AF9">
        <w:rPr>
          <w:rFonts w:cstheme="minorHAnsi"/>
          <w:i/>
          <w:color w:val="215868" w:themeColor="accent5" w:themeShade="80"/>
          <w:sz w:val="18"/>
          <w:szCs w:val="18"/>
        </w:rPr>
        <w:t>Gráfico. Número de niveles de información disponibles en la IDE de Bogotá a 31 de diciembre de 2019.</w:t>
      </w:r>
    </w:p>
    <w:p w:rsidR="000F41FF" w:rsidRPr="00D46AF9" w:rsidRDefault="000F41FF" w:rsidP="000F41FF">
      <w:pPr>
        <w:spacing w:after="0" w:line="240" w:lineRule="auto"/>
        <w:ind w:right="-2"/>
        <w:jc w:val="center"/>
        <w:rPr>
          <w:rFonts w:cstheme="minorHAnsi"/>
          <w:i/>
          <w:color w:val="215868" w:themeColor="accent5" w:themeShade="80"/>
          <w:sz w:val="18"/>
          <w:szCs w:val="18"/>
        </w:rPr>
      </w:pPr>
      <w:r w:rsidRPr="00D46AF9">
        <w:rPr>
          <w:rFonts w:cstheme="minorHAnsi"/>
          <w:i/>
          <w:color w:val="215868" w:themeColor="accent5" w:themeShade="80"/>
          <w:sz w:val="18"/>
          <w:szCs w:val="18"/>
        </w:rPr>
        <w:t>Fuente: Gerencia IDECA</w:t>
      </w:r>
    </w:p>
    <w:p w:rsidR="000C24D2" w:rsidRDefault="000C24D2" w:rsidP="000C24D2">
      <w:pPr>
        <w:spacing w:after="0" w:line="240" w:lineRule="auto"/>
        <w:jc w:val="both"/>
        <w:rPr>
          <w:rFonts w:cstheme="minorHAnsi"/>
          <w:color w:val="215868" w:themeColor="accent5" w:themeShade="80"/>
          <w:sz w:val="28"/>
          <w:szCs w:val="28"/>
        </w:rPr>
      </w:pPr>
    </w:p>
    <w:p w:rsidR="00AA6318" w:rsidRDefault="00E554AF" w:rsidP="00D46AF9">
      <w:pPr>
        <w:spacing w:after="0"/>
        <w:ind w:left="-142"/>
        <w:jc w:val="both"/>
        <w:rPr>
          <w:rFonts w:cstheme="minorHAnsi"/>
          <w:color w:val="215868" w:themeColor="accent5" w:themeShade="80"/>
          <w:sz w:val="28"/>
          <w:szCs w:val="28"/>
        </w:rPr>
      </w:pPr>
      <w:bookmarkStart w:id="7" w:name="_GoBack"/>
      <w:bookmarkEnd w:id="7"/>
      <w:r w:rsidRPr="00E554AF">
        <w:rPr>
          <w:rFonts w:cstheme="minorHAnsi"/>
          <w:color w:val="215868" w:themeColor="accent5" w:themeShade="80"/>
          <w:sz w:val="28"/>
          <w:szCs w:val="28"/>
        </w:rPr>
        <w:t>Además de la disposición de nuevos niveles, IDECA trabajó en la actualización de los niveles ya dispuestos conforme a la temporalidad planeada. Para el año 201</w:t>
      </w:r>
      <w:r w:rsidR="000F41FF">
        <w:rPr>
          <w:rFonts w:cstheme="minorHAnsi"/>
          <w:color w:val="215868" w:themeColor="accent5" w:themeShade="80"/>
          <w:sz w:val="28"/>
          <w:szCs w:val="28"/>
        </w:rPr>
        <w:t>9</w:t>
      </w:r>
      <w:r w:rsidRPr="00E554AF">
        <w:rPr>
          <w:rFonts w:cstheme="minorHAnsi"/>
          <w:color w:val="215868" w:themeColor="accent5" w:themeShade="80"/>
          <w:sz w:val="28"/>
          <w:szCs w:val="28"/>
        </w:rPr>
        <w:t xml:space="preserve"> se actualizaron </w:t>
      </w:r>
      <w:r w:rsidR="000F41FF">
        <w:rPr>
          <w:rFonts w:cstheme="minorHAnsi"/>
          <w:color w:val="215868" w:themeColor="accent5" w:themeShade="80"/>
          <w:sz w:val="28"/>
          <w:szCs w:val="28"/>
        </w:rPr>
        <w:t>8</w:t>
      </w:r>
      <w:r w:rsidRPr="00E554AF">
        <w:rPr>
          <w:rFonts w:cstheme="minorHAnsi"/>
          <w:color w:val="215868" w:themeColor="accent5" w:themeShade="80"/>
          <w:sz w:val="28"/>
          <w:szCs w:val="28"/>
        </w:rPr>
        <w:t xml:space="preserve">4 niveles </w:t>
      </w:r>
      <w:r w:rsidR="000F41FF" w:rsidRPr="000F41FF">
        <w:rPr>
          <w:rFonts w:cstheme="minorHAnsi"/>
          <w:color w:val="215868" w:themeColor="accent5" w:themeShade="80"/>
          <w:sz w:val="28"/>
          <w:szCs w:val="28"/>
        </w:rPr>
        <w:t>de los 57 datos proyectados para la vigencia,</w:t>
      </w:r>
      <w:r w:rsidR="00AA6318">
        <w:rPr>
          <w:rFonts w:cstheme="minorHAnsi"/>
          <w:color w:val="215868" w:themeColor="accent5" w:themeShade="80"/>
          <w:sz w:val="28"/>
          <w:szCs w:val="28"/>
        </w:rPr>
        <w:t xml:space="preserve"> con la participación de</w:t>
      </w:r>
      <w:r w:rsidR="000F41FF" w:rsidRPr="000F41FF">
        <w:rPr>
          <w:rFonts w:cstheme="minorHAnsi"/>
          <w:color w:val="215868" w:themeColor="accent5" w:themeShade="80"/>
          <w:sz w:val="28"/>
          <w:szCs w:val="28"/>
        </w:rPr>
        <w:t xml:space="preserve"> entidades</w:t>
      </w:r>
      <w:r w:rsidR="00AA6318">
        <w:rPr>
          <w:rFonts w:cstheme="minorHAnsi"/>
          <w:color w:val="215868" w:themeColor="accent5" w:themeShade="80"/>
          <w:sz w:val="28"/>
          <w:szCs w:val="28"/>
        </w:rPr>
        <w:t xml:space="preserve"> como la Secretaría de </w:t>
      </w:r>
      <w:r w:rsidR="000F41FF" w:rsidRPr="000F41FF">
        <w:rPr>
          <w:rFonts w:cstheme="minorHAnsi"/>
          <w:color w:val="215868" w:themeColor="accent5" w:themeShade="80"/>
          <w:sz w:val="28"/>
          <w:szCs w:val="28"/>
        </w:rPr>
        <w:t>Seguridad, Convivencia y Justicia, Movilidad, Mujer, Catastro y Registraduría Distrital</w:t>
      </w:r>
      <w:r w:rsidR="00AA6318">
        <w:rPr>
          <w:rFonts w:cstheme="minorHAnsi"/>
          <w:color w:val="215868" w:themeColor="accent5" w:themeShade="80"/>
          <w:sz w:val="28"/>
          <w:szCs w:val="28"/>
        </w:rPr>
        <w:t>, entre otras.</w:t>
      </w:r>
    </w:p>
    <w:p w:rsidR="00AA6318" w:rsidRDefault="00AA6318" w:rsidP="00797D7D">
      <w:pPr>
        <w:spacing w:after="0"/>
        <w:ind w:left="-567"/>
        <w:jc w:val="both"/>
        <w:rPr>
          <w:rFonts w:cstheme="minorHAnsi"/>
          <w:color w:val="215868" w:themeColor="accent5" w:themeShade="80"/>
          <w:sz w:val="28"/>
          <w:szCs w:val="28"/>
        </w:rPr>
      </w:pPr>
    </w:p>
    <w:p w:rsidR="00E554AF" w:rsidRDefault="00AA6318" w:rsidP="00D46AF9">
      <w:pPr>
        <w:spacing w:after="0"/>
        <w:ind w:left="-142"/>
        <w:jc w:val="both"/>
        <w:rPr>
          <w:rFonts w:cstheme="minorHAnsi"/>
          <w:color w:val="215868" w:themeColor="accent5" w:themeShade="80"/>
          <w:sz w:val="28"/>
          <w:szCs w:val="28"/>
        </w:rPr>
      </w:pPr>
      <w:r w:rsidRPr="00AA6318">
        <w:rPr>
          <w:rFonts w:cstheme="minorHAnsi"/>
          <w:color w:val="215868" w:themeColor="accent5" w:themeShade="80"/>
          <w:sz w:val="28"/>
          <w:szCs w:val="28"/>
        </w:rPr>
        <w:t>Como resultado, tal información se ha venido disponiendo a través de las diferentes plataformas, como la nueva Plataforma de Información Geográfica de Bogotá (https://www.ideca.gov.co), Mapas Bogotá (https://mapas.bogota.gov.co/) y Datos Abiertos (https://datosabiertos.bogota.gov.co) de manera integrada.</w:t>
      </w:r>
      <w:r>
        <w:rPr>
          <w:rFonts w:cstheme="minorHAnsi"/>
          <w:color w:val="215868" w:themeColor="accent5" w:themeShade="80"/>
          <w:sz w:val="28"/>
          <w:szCs w:val="28"/>
        </w:rPr>
        <w:t xml:space="preserve"> </w:t>
      </w:r>
    </w:p>
    <w:p w:rsidR="00E554AF" w:rsidRDefault="00E554AF" w:rsidP="000C24D2">
      <w:pPr>
        <w:spacing w:after="0"/>
        <w:jc w:val="both"/>
        <w:rPr>
          <w:rFonts w:cstheme="minorHAnsi"/>
          <w:color w:val="215868" w:themeColor="accent5" w:themeShade="80"/>
          <w:sz w:val="28"/>
          <w:szCs w:val="28"/>
          <w:lang w:val="es-ES"/>
        </w:rPr>
      </w:pPr>
    </w:p>
    <w:p w:rsidR="00E554AF" w:rsidRPr="00E554AF" w:rsidRDefault="00E554AF" w:rsidP="00D46AF9">
      <w:pPr>
        <w:spacing w:after="0"/>
        <w:ind w:left="-142"/>
        <w:jc w:val="both"/>
        <w:rPr>
          <w:rFonts w:cstheme="minorHAnsi"/>
          <w:b/>
          <w:color w:val="215868" w:themeColor="accent5" w:themeShade="80"/>
          <w:sz w:val="28"/>
          <w:szCs w:val="28"/>
          <w:lang w:val="es-ES"/>
        </w:rPr>
      </w:pPr>
      <w:r w:rsidRPr="00E554AF">
        <w:rPr>
          <w:rFonts w:cstheme="minorHAnsi"/>
          <w:b/>
          <w:color w:val="215868" w:themeColor="accent5" w:themeShade="80"/>
          <w:sz w:val="28"/>
          <w:szCs w:val="28"/>
          <w:lang w:val="es-ES"/>
        </w:rPr>
        <w:t>Mapa de Referencia para el Distrito Capital</w:t>
      </w:r>
    </w:p>
    <w:p w:rsidR="00E554AF" w:rsidRPr="00E554AF" w:rsidRDefault="00E554AF" w:rsidP="00D46AF9">
      <w:pPr>
        <w:spacing w:after="0"/>
        <w:ind w:left="-142"/>
        <w:jc w:val="both"/>
        <w:rPr>
          <w:rFonts w:cstheme="minorHAnsi"/>
          <w:color w:val="215868" w:themeColor="accent5" w:themeShade="80"/>
          <w:sz w:val="28"/>
          <w:szCs w:val="28"/>
          <w:lang w:val="es-ES"/>
        </w:rPr>
      </w:pPr>
    </w:p>
    <w:p w:rsidR="00AA6318" w:rsidRPr="00AA6318" w:rsidRDefault="00AA6318" w:rsidP="00D46AF9">
      <w:pPr>
        <w:spacing w:after="0"/>
        <w:ind w:left="-142"/>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El Mapa de Referencia como instrumento oficial de consulta se define como el «conjunto organizado de datos espaciales básicos, requeridos por la mayoría de las entidades de la Administración Distrital y la sociedad en general» . Este conjunto datos estandarizados tiene como propósito garantizar la unificación de la cartografía bajo estándares mínimos de calidad para integrar, intercambiar y usar la información del Distrito Capital.</w:t>
      </w:r>
    </w:p>
    <w:p w:rsidR="00AA6318" w:rsidRPr="00AA6318" w:rsidRDefault="00AA6318" w:rsidP="00D46AF9">
      <w:pPr>
        <w:spacing w:after="0"/>
        <w:ind w:left="-142"/>
        <w:jc w:val="both"/>
        <w:rPr>
          <w:rFonts w:cstheme="minorHAnsi"/>
          <w:color w:val="215868" w:themeColor="accent5" w:themeShade="80"/>
          <w:sz w:val="28"/>
          <w:szCs w:val="28"/>
          <w:lang w:val="es-ES"/>
        </w:rPr>
      </w:pPr>
    </w:p>
    <w:p w:rsidR="00E554AF" w:rsidRDefault="00AA6318" w:rsidP="00D46AF9">
      <w:pPr>
        <w:spacing w:after="0"/>
        <w:ind w:left="-142"/>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Es de resaltar, que este mapa es el resultado del trabajo conjunto entre las entidades productoras y/o custodias de información como: Secretaría Distrital de Planeación (SDP), Secretaría Distrital de Movilidad (SDM), Instituto de Desarrollo Urbano (IDU), Empresa de Acueducto, Alcantarillado y Aseo de Bogotá E.S.P. (EAAB), Servicios Postales Nacionales S.A. 4-72 y la Unidad Administrativa Especial de Catastro Distrital (UAECD); siendo esta última a través de IDECA quien tiene la responsabilidad de administrar este conjunto de objetos geográficos fundamentales, a través del procedimiento de Gestión de Datos de Referencia.</w:t>
      </w:r>
    </w:p>
    <w:p w:rsidR="00AA6318" w:rsidRDefault="00AA6318" w:rsidP="00D46AF9">
      <w:pPr>
        <w:spacing w:after="0"/>
        <w:ind w:left="-142"/>
        <w:jc w:val="both"/>
        <w:rPr>
          <w:rFonts w:cstheme="minorHAnsi"/>
          <w:color w:val="215868" w:themeColor="accent5" w:themeShade="80"/>
          <w:sz w:val="28"/>
          <w:szCs w:val="28"/>
        </w:rPr>
      </w:pPr>
    </w:p>
    <w:p w:rsidR="00AA6318" w:rsidRPr="00AA6318" w:rsidRDefault="00AA6318" w:rsidP="00D46AF9">
      <w:pPr>
        <w:spacing w:after="0" w:line="240" w:lineRule="auto"/>
        <w:ind w:left="-142"/>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Durante este cuatrienio, IDECA continúa administrando el Mapa de Referencia para Bogotá con el concurso de las entidades que hacen parte de este producto, disponiendo una versión actualizada cada 3 meses conforme a la frecuencia definida en el marco normativo, buscando el mejoramiento continuo a nivel de proceso, como su enriquecimiento y descentralización</w:t>
      </w:r>
      <w:r w:rsidR="00D46AF9">
        <w:rPr>
          <w:rFonts w:cstheme="minorHAnsi"/>
          <w:color w:val="215868" w:themeColor="accent5" w:themeShade="80"/>
          <w:sz w:val="28"/>
          <w:szCs w:val="28"/>
          <w:lang w:val="es-ES"/>
        </w:rPr>
        <w:t xml:space="preserve">. </w:t>
      </w:r>
      <w:r w:rsidRPr="00AA6318">
        <w:rPr>
          <w:rFonts w:cstheme="minorHAnsi"/>
          <w:color w:val="215868" w:themeColor="accent5" w:themeShade="80"/>
          <w:sz w:val="28"/>
          <w:szCs w:val="28"/>
          <w:lang w:val="es-ES"/>
        </w:rPr>
        <w:t>A la fecha, se ha logrado la disposición de 15 versiones de Mapa de Referencia (cuatro versiones por anualidad), con 33 niveles de información y con una reducción en la frecuencia de actualización de 3 a 1 mes en sus seis (6) datos catastrales.</w:t>
      </w:r>
    </w:p>
    <w:p w:rsidR="00AA6318" w:rsidRPr="00AA6318" w:rsidRDefault="00AA6318" w:rsidP="000C24D2">
      <w:pPr>
        <w:spacing w:after="0" w:line="240" w:lineRule="auto"/>
        <w:jc w:val="both"/>
        <w:rPr>
          <w:rFonts w:cstheme="minorHAnsi"/>
          <w:color w:val="215868" w:themeColor="accent5" w:themeShade="80"/>
          <w:sz w:val="28"/>
          <w:szCs w:val="28"/>
          <w:lang w:val="es-ES"/>
        </w:rPr>
      </w:pPr>
    </w:p>
    <w:p w:rsidR="00AA6318" w:rsidRPr="00AA6318" w:rsidRDefault="00AA6318" w:rsidP="000C24D2">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En esta última vigencia 2019, se logró integrar como canal adicional de acceso a los datos de referencia, la Plataforma de Datos Abiertos de Bogotá (</w:t>
      </w:r>
      <w:hyperlink r:id="rId13" w:history="1">
        <w:r w:rsidRPr="00AA6318">
          <w:rPr>
            <w:rFonts w:cstheme="minorHAnsi"/>
            <w:color w:val="215868" w:themeColor="accent5" w:themeShade="80"/>
            <w:sz w:val="28"/>
            <w:szCs w:val="28"/>
            <w:lang w:val="es-ES"/>
          </w:rPr>
          <w:t>https://datosabiertos.bogota.gov.co/dataset/mapa-de-referencia</w:t>
        </w:r>
      </w:hyperlink>
      <w:r w:rsidRPr="00AA6318">
        <w:rPr>
          <w:rFonts w:cstheme="minorHAnsi"/>
          <w:color w:val="215868" w:themeColor="accent5" w:themeShade="80"/>
          <w:sz w:val="28"/>
          <w:szCs w:val="28"/>
          <w:lang w:val="es-ES"/>
        </w:rPr>
        <w:t>), la cual opera bajo un esquema federado e interconectado con el Portal Nacional de Datos Abiertos Colombia (</w:t>
      </w:r>
      <w:hyperlink r:id="rId14" w:history="1">
        <w:r w:rsidRPr="00AA6318">
          <w:rPr>
            <w:rFonts w:cstheme="minorHAnsi"/>
            <w:color w:val="215868" w:themeColor="accent5" w:themeShade="80"/>
            <w:sz w:val="28"/>
            <w:szCs w:val="28"/>
            <w:lang w:val="es-ES"/>
          </w:rPr>
          <w:t>https://datos.gov.co</w:t>
        </w:r>
      </w:hyperlink>
      <w:r w:rsidRPr="00AA6318">
        <w:rPr>
          <w:rFonts w:cstheme="minorHAnsi"/>
          <w:color w:val="215868" w:themeColor="accent5" w:themeShade="80"/>
          <w:sz w:val="28"/>
          <w:szCs w:val="28"/>
          <w:lang w:val="es-ES"/>
        </w:rPr>
        <w:t xml:space="preserve">), así mismo se dispone en la Plataforma de Información Geográfica para Bogotá (https://www.ideca.gov.co). </w:t>
      </w:r>
    </w:p>
    <w:p w:rsidR="00AA6318" w:rsidRPr="00AA6318" w:rsidRDefault="00AA6318" w:rsidP="000C24D2">
      <w:pPr>
        <w:spacing w:after="0" w:line="240" w:lineRule="auto"/>
        <w:jc w:val="both"/>
        <w:rPr>
          <w:rFonts w:cstheme="minorHAnsi"/>
          <w:color w:val="215868" w:themeColor="accent5" w:themeShade="80"/>
          <w:sz w:val="28"/>
          <w:szCs w:val="28"/>
          <w:lang w:val="es-ES"/>
        </w:rPr>
      </w:pPr>
    </w:p>
    <w:p w:rsidR="00AA6318" w:rsidRPr="00AA6318" w:rsidRDefault="00AA6318" w:rsidP="000C24D2">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En dicha plataforma se encuentra disponible para consulta, descarga y reutilización de la ciudadanía en general, las versiones históricas de Mapa de Referencia con corte anual desde el año 2011 y las versiones propias para el año 2019 en formatos: Geodatabase ESRI, </w:t>
      </w:r>
      <w:proofErr w:type="spellStart"/>
      <w:r w:rsidRPr="00AA6318">
        <w:rPr>
          <w:rFonts w:cstheme="minorHAnsi"/>
          <w:color w:val="215868" w:themeColor="accent5" w:themeShade="80"/>
          <w:sz w:val="28"/>
          <w:szCs w:val="28"/>
          <w:lang w:val="es-ES"/>
        </w:rPr>
        <w:t>GeoPackage</w:t>
      </w:r>
      <w:proofErr w:type="spellEnd"/>
      <w:r w:rsidRPr="00AA6318">
        <w:rPr>
          <w:rFonts w:cstheme="minorHAnsi"/>
          <w:color w:val="215868" w:themeColor="accent5" w:themeShade="80"/>
          <w:sz w:val="28"/>
          <w:szCs w:val="28"/>
          <w:lang w:val="es-ES"/>
        </w:rPr>
        <w:t xml:space="preserve"> y PostgreSQL-</w:t>
      </w:r>
      <w:proofErr w:type="spellStart"/>
      <w:r w:rsidRPr="00AA6318">
        <w:rPr>
          <w:rFonts w:cstheme="minorHAnsi"/>
          <w:color w:val="215868" w:themeColor="accent5" w:themeShade="80"/>
          <w:sz w:val="28"/>
          <w:szCs w:val="28"/>
          <w:lang w:val="es-ES"/>
        </w:rPr>
        <w:t>PostGIS</w:t>
      </w:r>
      <w:proofErr w:type="spellEnd"/>
      <w:r w:rsidRPr="00AA6318">
        <w:rPr>
          <w:rFonts w:cstheme="minorHAnsi"/>
          <w:color w:val="215868" w:themeColor="accent5" w:themeShade="80"/>
          <w:sz w:val="28"/>
          <w:szCs w:val="28"/>
          <w:lang w:val="es-ES"/>
        </w:rPr>
        <w:t>. Es de resaltar que cada versión cuenta con su respectiva documentación técnica describiendo aspectos como: la especificación del producto, el modelo y la estructura de la base de datos, su esquema de representación y las pruebas de evaluación de calidad.</w:t>
      </w:r>
    </w:p>
    <w:p w:rsidR="00AA6318" w:rsidRPr="00AA6318" w:rsidRDefault="00AA6318" w:rsidP="000C24D2">
      <w:pPr>
        <w:spacing w:after="0" w:line="240" w:lineRule="auto"/>
        <w:jc w:val="both"/>
        <w:rPr>
          <w:rFonts w:cstheme="minorHAnsi"/>
          <w:color w:val="215868" w:themeColor="accent5" w:themeShade="80"/>
          <w:sz w:val="28"/>
          <w:szCs w:val="28"/>
          <w:lang w:val="es-ES"/>
        </w:rPr>
      </w:pPr>
    </w:p>
    <w:p w:rsidR="00AA6318" w:rsidRPr="00AA6318" w:rsidRDefault="00AA6318" w:rsidP="000C24D2">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Con relación a la descentralización de esta información, IDECA en el marco de la iniciativa de fortalecimiento de las capacidades técnicas y tecnológicas de las entidades productoras y custodias de información del Distrito Capital y en pro de la disposición de la información a través de medios que garanticen los criterios de interoperabilidad técnica y semántica, ha logrado a la fecha que 15 niveles de información sean dispuestos a través de servicios web geográficos de tipo ESRI-REST con capacidades Web </w:t>
      </w:r>
      <w:proofErr w:type="spellStart"/>
      <w:r w:rsidRPr="00AA6318">
        <w:rPr>
          <w:rFonts w:cstheme="minorHAnsi"/>
          <w:color w:val="215868" w:themeColor="accent5" w:themeShade="80"/>
          <w:sz w:val="28"/>
          <w:szCs w:val="28"/>
          <w:lang w:val="es-ES"/>
        </w:rPr>
        <w:t>Map</w:t>
      </w:r>
      <w:proofErr w:type="spellEnd"/>
      <w:r w:rsidRPr="00AA6318">
        <w:rPr>
          <w:rFonts w:cstheme="minorHAnsi"/>
          <w:color w:val="215868" w:themeColor="accent5" w:themeShade="80"/>
          <w:sz w:val="28"/>
          <w:szCs w:val="28"/>
          <w:lang w:val="es-ES"/>
        </w:rPr>
        <w:t xml:space="preserve"> </w:t>
      </w:r>
      <w:proofErr w:type="spellStart"/>
      <w:r w:rsidRPr="00AA6318">
        <w:rPr>
          <w:rFonts w:cstheme="minorHAnsi"/>
          <w:color w:val="215868" w:themeColor="accent5" w:themeShade="80"/>
          <w:sz w:val="28"/>
          <w:szCs w:val="28"/>
          <w:lang w:val="es-ES"/>
        </w:rPr>
        <w:t>Service</w:t>
      </w:r>
      <w:proofErr w:type="spellEnd"/>
      <w:r w:rsidRPr="00AA6318">
        <w:rPr>
          <w:rFonts w:cstheme="minorHAnsi"/>
          <w:color w:val="215868" w:themeColor="accent5" w:themeShade="80"/>
          <w:sz w:val="28"/>
          <w:szCs w:val="28"/>
          <w:lang w:val="es-ES"/>
        </w:rPr>
        <w:t xml:space="preserve"> (WMS) y Web </w:t>
      </w:r>
      <w:proofErr w:type="spellStart"/>
      <w:r w:rsidRPr="00AA6318">
        <w:rPr>
          <w:rFonts w:cstheme="minorHAnsi"/>
          <w:color w:val="215868" w:themeColor="accent5" w:themeShade="80"/>
          <w:sz w:val="28"/>
          <w:szCs w:val="28"/>
          <w:lang w:val="es-ES"/>
        </w:rPr>
        <w:t>Feature</w:t>
      </w:r>
      <w:proofErr w:type="spellEnd"/>
      <w:r w:rsidRPr="00AA6318">
        <w:rPr>
          <w:rFonts w:cstheme="minorHAnsi"/>
          <w:color w:val="215868" w:themeColor="accent5" w:themeShade="80"/>
          <w:sz w:val="28"/>
          <w:szCs w:val="28"/>
          <w:lang w:val="es-ES"/>
        </w:rPr>
        <w:t xml:space="preserve"> </w:t>
      </w:r>
      <w:proofErr w:type="spellStart"/>
      <w:r w:rsidRPr="00AA6318">
        <w:rPr>
          <w:rFonts w:cstheme="minorHAnsi"/>
          <w:color w:val="215868" w:themeColor="accent5" w:themeShade="80"/>
          <w:sz w:val="28"/>
          <w:szCs w:val="28"/>
          <w:lang w:val="es-ES"/>
        </w:rPr>
        <w:t>Service</w:t>
      </w:r>
      <w:proofErr w:type="spellEnd"/>
      <w:r w:rsidRPr="00AA6318">
        <w:rPr>
          <w:rFonts w:cstheme="minorHAnsi"/>
          <w:color w:val="215868" w:themeColor="accent5" w:themeShade="80"/>
          <w:sz w:val="28"/>
          <w:szCs w:val="28"/>
          <w:lang w:val="es-ES"/>
        </w:rPr>
        <w:t xml:space="preserve"> (WFS) por sus propios custodios, así: </w:t>
      </w:r>
    </w:p>
    <w:p w:rsidR="00AA6318" w:rsidRPr="00AA6318" w:rsidRDefault="00AA6318" w:rsidP="00AA6318">
      <w:pPr>
        <w:spacing w:after="0" w:line="240" w:lineRule="auto"/>
        <w:ind w:left="-567"/>
        <w:jc w:val="both"/>
        <w:rPr>
          <w:rFonts w:cstheme="minorHAnsi"/>
          <w:color w:val="215868" w:themeColor="accent5" w:themeShade="80"/>
          <w:sz w:val="28"/>
          <w:szCs w:val="28"/>
          <w:lang w:val="es-ES"/>
        </w:rPr>
      </w:pP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Unidad Administrativa Especial de Catastro Distrital (UAECD): Sector Catastral, Manzana, Lote, Construcción, Placa Domiciliaria y Tabla de Uso, los cuales ya cuentan con la notificación de interoperabilidad – Nivel 3, expedida por MinTIC.</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Secretaría Distrital de Planeación (SDP): Municipio, Localidad, Centro Poblado, Corregimiento y Suelo.</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Servicios Postales Nacionales 4-72: Código Postal de Bogotá D.C.</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Datos en custodia IDECA: Curvas de Nivel, Puntos Geodésicos y Nombre Geográfico.</w:t>
      </w:r>
    </w:p>
    <w:p w:rsidR="00AA6318" w:rsidRPr="00AA6318" w:rsidRDefault="00AA6318" w:rsidP="000C24D2">
      <w:pPr>
        <w:spacing w:after="0" w:line="240" w:lineRule="auto"/>
        <w:ind w:left="567" w:hanging="567"/>
        <w:jc w:val="both"/>
        <w:rPr>
          <w:rFonts w:cstheme="minorHAnsi"/>
          <w:color w:val="215868" w:themeColor="accent5" w:themeShade="80"/>
          <w:sz w:val="28"/>
          <w:szCs w:val="28"/>
          <w:lang w:val="es-ES"/>
        </w:rPr>
      </w:pPr>
    </w:p>
    <w:p w:rsidR="00AA6318" w:rsidRPr="00AA6318" w:rsidRDefault="00AA6318" w:rsidP="000C24D2">
      <w:pPr>
        <w:spacing w:after="0" w:line="240" w:lineRule="auto"/>
        <w:ind w:left="567" w:hanging="567"/>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Lo anterior ha contribuido al interior de las entidades en:</w:t>
      </w:r>
    </w:p>
    <w:p w:rsidR="00AA6318" w:rsidRPr="00AA6318" w:rsidRDefault="00AA6318" w:rsidP="00AA6318">
      <w:pPr>
        <w:spacing w:after="0" w:line="240" w:lineRule="auto"/>
        <w:ind w:left="-567"/>
        <w:jc w:val="both"/>
        <w:rPr>
          <w:rFonts w:cstheme="minorHAnsi"/>
          <w:color w:val="215868" w:themeColor="accent5" w:themeShade="80"/>
          <w:sz w:val="28"/>
          <w:szCs w:val="28"/>
          <w:lang w:val="es-ES"/>
        </w:rPr>
      </w:pP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Reducción en los tiempos de estandarización y alistamiento de información.</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La implementación de herramientas que permitan la automatización de los procesos relacionados con el poblamiento de las Bases de Datos Geográficas.</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Disminución de la frecuencia de actualización y disposición de los datos. </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Promover el uso innovador de los datos para apoyar el desarrollo y mejora de productos y servicios.</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Publicación autónoma en la Plataforma de Datos Abiertos Bogotá para cada uno de los niveles de información del Mapa de Referencia en los formatos: </w:t>
      </w:r>
      <w:proofErr w:type="spellStart"/>
      <w:r w:rsidRPr="00AA6318">
        <w:rPr>
          <w:rFonts w:cstheme="minorHAnsi"/>
          <w:color w:val="215868" w:themeColor="accent5" w:themeShade="80"/>
          <w:sz w:val="28"/>
          <w:szCs w:val="28"/>
          <w:lang w:val="es-ES"/>
        </w:rPr>
        <w:t>Shapefile</w:t>
      </w:r>
      <w:proofErr w:type="spellEnd"/>
      <w:r w:rsidRPr="00AA6318">
        <w:rPr>
          <w:rFonts w:cstheme="minorHAnsi"/>
          <w:color w:val="215868" w:themeColor="accent5" w:themeShade="80"/>
          <w:sz w:val="28"/>
          <w:szCs w:val="28"/>
          <w:lang w:val="es-ES"/>
        </w:rPr>
        <w:t xml:space="preserve">, DXF, </w:t>
      </w:r>
      <w:proofErr w:type="spellStart"/>
      <w:r w:rsidRPr="00AA6318">
        <w:rPr>
          <w:rFonts w:cstheme="minorHAnsi"/>
          <w:color w:val="215868" w:themeColor="accent5" w:themeShade="80"/>
          <w:sz w:val="28"/>
          <w:szCs w:val="28"/>
          <w:lang w:val="es-ES"/>
        </w:rPr>
        <w:t>GeoJSON</w:t>
      </w:r>
      <w:proofErr w:type="spellEnd"/>
      <w:r w:rsidRPr="00AA6318">
        <w:rPr>
          <w:rFonts w:cstheme="minorHAnsi"/>
          <w:color w:val="215868" w:themeColor="accent5" w:themeShade="80"/>
          <w:sz w:val="28"/>
          <w:szCs w:val="28"/>
          <w:lang w:val="es-ES"/>
        </w:rPr>
        <w:t xml:space="preserve">, </w:t>
      </w:r>
      <w:proofErr w:type="spellStart"/>
      <w:r w:rsidRPr="00AA6318">
        <w:rPr>
          <w:rFonts w:cstheme="minorHAnsi"/>
          <w:color w:val="215868" w:themeColor="accent5" w:themeShade="80"/>
          <w:sz w:val="28"/>
          <w:szCs w:val="28"/>
          <w:lang w:val="es-ES"/>
        </w:rPr>
        <w:t>Geopackage</w:t>
      </w:r>
      <w:proofErr w:type="spellEnd"/>
      <w:r w:rsidRPr="00AA6318">
        <w:rPr>
          <w:rFonts w:cstheme="minorHAnsi"/>
          <w:color w:val="215868" w:themeColor="accent5" w:themeShade="80"/>
          <w:sz w:val="28"/>
          <w:szCs w:val="28"/>
          <w:lang w:val="es-ES"/>
        </w:rPr>
        <w:t xml:space="preserve"> y KMZ para los objetos geográficos y en los formatos DBF y CSV para los datos alfanuméricos </w:t>
      </w:r>
    </w:p>
    <w:p w:rsidR="00AA6318" w:rsidRPr="00AA6318" w:rsidRDefault="00AA6318" w:rsidP="00AA6318">
      <w:pPr>
        <w:spacing w:after="0" w:line="240" w:lineRule="auto"/>
        <w:ind w:left="-567"/>
        <w:jc w:val="both"/>
        <w:rPr>
          <w:rFonts w:cstheme="minorHAnsi"/>
          <w:color w:val="215868" w:themeColor="accent5" w:themeShade="80"/>
          <w:sz w:val="28"/>
          <w:szCs w:val="28"/>
          <w:lang w:val="es-ES"/>
        </w:rPr>
      </w:pPr>
    </w:p>
    <w:p w:rsidR="00AA6318" w:rsidRPr="00AA6318" w:rsidRDefault="00AA6318" w:rsidP="000C24D2">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De otra parte, IDECA con el propósito de enriquecer el Mapa de Referencia, buscando generar mayor valor sobre estos datos, de manera conjunta con las entidades productoras y/o custodias que aportan datos a este mapa, se han enfocado en la integración de información alfanumérica de interés para la Ciudad. En esta línea, en el último año se han obtenido los siguientes resultados: </w:t>
      </w:r>
    </w:p>
    <w:p w:rsidR="00AA6318" w:rsidRPr="00AA6318" w:rsidRDefault="00AA6318" w:rsidP="00AA6318">
      <w:pPr>
        <w:spacing w:after="0" w:line="240" w:lineRule="auto"/>
        <w:ind w:left="-567"/>
        <w:jc w:val="both"/>
        <w:rPr>
          <w:rFonts w:cstheme="minorHAnsi"/>
          <w:color w:val="215868" w:themeColor="accent5" w:themeShade="80"/>
          <w:sz w:val="28"/>
          <w:szCs w:val="28"/>
          <w:lang w:val="es-ES"/>
        </w:rPr>
      </w:pP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V.03.19: Inclusión a nivel del objeto “Lote”, la identificación de los lotes del distrito permitiendo a los usuarios reconocer aquellos predios que hace parte del área pública y que no están contenidos dentro de una manzana. </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V.06.19: Actualización de la estructura del objeto “Sitios de Interés” por el objeto “Nombre Geográfico”, con el propósito de implementar estándares internacionales que permitan la interrelación con otras bases de datos y la futura implementación de buscadores geográficos optimizando la búsqueda, consulta y recuperación de información.</w:t>
      </w:r>
    </w:p>
    <w:p w:rsidR="00AA6318" w:rsidRPr="00AA6318" w:rsidRDefault="00AA6318" w:rsidP="009E2852">
      <w:pPr>
        <w:pStyle w:val="Prrafodelista"/>
        <w:widowControl w:val="0"/>
        <w:numPr>
          <w:ilvl w:val="0"/>
          <w:numId w:val="12"/>
        </w:numPr>
        <w:autoSpaceDE w:val="0"/>
        <w:autoSpaceDN w:val="0"/>
        <w:spacing w:after="0" w:line="240" w:lineRule="auto"/>
        <w:ind w:left="567" w:hanging="567"/>
        <w:contextualSpacing w:val="0"/>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V.09.19: i) Inclusión de la tabla Predio, relacionada al objeto geográfico “Lote”, en la cual se encontrará información de: identificadores prediales, áreas de terreno y construcción, tipificación del predio, destinos económicos, usos y calificación; </w:t>
      </w:r>
      <w:proofErr w:type="spellStart"/>
      <w:r w:rsidRPr="00AA6318">
        <w:rPr>
          <w:rFonts w:cstheme="minorHAnsi"/>
          <w:color w:val="215868" w:themeColor="accent5" w:themeShade="80"/>
          <w:sz w:val="28"/>
          <w:szCs w:val="28"/>
          <w:lang w:val="es-ES"/>
        </w:rPr>
        <w:t>ii</w:t>
      </w:r>
      <w:proofErr w:type="spellEnd"/>
      <w:r w:rsidRPr="00AA6318">
        <w:rPr>
          <w:rFonts w:cstheme="minorHAnsi"/>
          <w:color w:val="215868" w:themeColor="accent5" w:themeShade="80"/>
          <w:sz w:val="28"/>
          <w:szCs w:val="28"/>
          <w:lang w:val="es-ES"/>
        </w:rPr>
        <w:t xml:space="preserve">) Incorporación de la tabla “Estado Superficial”, relacionada al objeto geográfico “Calzada”, la cual corresponde a un indicador que permite dar el “Estado del tipo de superficie (categorizado en: bueno, regular y malo)” del Objeto “Calzada” mediante la realización de una evaluación superficial teniendo en cuenta el inventario de fallas del pavimento. </w:t>
      </w:r>
    </w:p>
    <w:p w:rsidR="00AA6318" w:rsidRPr="00AA6318" w:rsidRDefault="00AA6318" w:rsidP="00AA6318">
      <w:pPr>
        <w:pStyle w:val="Prrafodelista"/>
        <w:spacing w:after="0" w:line="240" w:lineRule="auto"/>
        <w:ind w:left="-567"/>
        <w:rPr>
          <w:rFonts w:cstheme="minorHAnsi"/>
          <w:color w:val="215868" w:themeColor="accent5" w:themeShade="80"/>
          <w:sz w:val="28"/>
          <w:szCs w:val="28"/>
          <w:lang w:val="es-ES"/>
        </w:rPr>
      </w:pPr>
    </w:p>
    <w:p w:rsidR="00AA6318" w:rsidRPr="00AA6318" w:rsidRDefault="00AA6318" w:rsidP="000C24D2">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Con lo anterior se consolida a la fecha 33 datos fundamentales para el Distrito Capital, es decir 4 adicionales a los de la vigencia 2015, los cuales serán de utilidad para múltiples usuarios.</w:t>
      </w:r>
    </w:p>
    <w:p w:rsidR="00E056C1" w:rsidRPr="00E056C1" w:rsidRDefault="00E056C1" w:rsidP="00797D7D">
      <w:pPr>
        <w:pStyle w:val="Prrafodelista"/>
        <w:spacing w:after="0"/>
        <w:ind w:left="1440"/>
        <w:jc w:val="both"/>
        <w:rPr>
          <w:rFonts w:cstheme="minorHAnsi"/>
          <w:color w:val="215868" w:themeColor="accent5" w:themeShade="80"/>
          <w:sz w:val="28"/>
          <w:szCs w:val="28"/>
          <w:lang w:val="es-ES"/>
        </w:rPr>
      </w:pPr>
    </w:p>
    <w:p w:rsidR="00E056C1" w:rsidRDefault="00AA6318" w:rsidP="009E2852">
      <w:pPr>
        <w:pStyle w:val="Prrafodelista"/>
        <w:numPr>
          <w:ilvl w:val="0"/>
          <w:numId w:val="6"/>
        </w:numPr>
        <w:spacing w:after="0"/>
        <w:ind w:left="284"/>
        <w:jc w:val="both"/>
        <w:rPr>
          <w:rFonts w:cstheme="minorHAnsi"/>
          <w:b/>
          <w:color w:val="215868" w:themeColor="accent5" w:themeShade="80"/>
          <w:sz w:val="28"/>
          <w:szCs w:val="28"/>
          <w:lang w:val="es-ES"/>
        </w:rPr>
      </w:pPr>
      <w:r>
        <w:rPr>
          <w:rFonts w:cstheme="minorHAnsi"/>
          <w:b/>
          <w:color w:val="215868" w:themeColor="accent5" w:themeShade="80"/>
          <w:sz w:val="28"/>
          <w:szCs w:val="28"/>
          <w:lang w:val="es-ES"/>
        </w:rPr>
        <w:t xml:space="preserve">Actualización </w:t>
      </w:r>
      <w:r w:rsidRPr="00AA6318">
        <w:rPr>
          <w:rFonts w:cstheme="minorHAnsi"/>
          <w:b/>
          <w:color w:val="215868" w:themeColor="accent5" w:themeShade="80"/>
          <w:sz w:val="28"/>
          <w:szCs w:val="28"/>
          <w:lang w:val="es-ES"/>
        </w:rPr>
        <w:t>de los puntos geodésicos para la producción de cartografía de precisión para Bogotá</w:t>
      </w:r>
    </w:p>
    <w:p w:rsidR="00AA6318" w:rsidRDefault="00AA6318" w:rsidP="00AA6318">
      <w:pPr>
        <w:spacing w:after="0"/>
        <w:ind w:left="-567"/>
        <w:rPr>
          <w:rFonts w:cstheme="minorHAnsi"/>
          <w:b/>
          <w:color w:val="215868" w:themeColor="accent5" w:themeShade="80"/>
          <w:sz w:val="28"/>
          <w:szCs w:val="28"/>
          <w:lang w:val="es-ES"/>
        </w:rPr>
      </w:pPr>
    </w:p>
    <w:p w:rsidR="00AA6318" w:rsidRPr="00AA6318" w:rsidRDefault="00AA6318" w:rsidP="000C24D2">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En desarrollo del Convenio Administrativo No. 011 del 09 de noviembre de 2011 suscrito entre el Servicio Geológico Colombiano - SGC y la Unidad Administrativa Especial Catastro Distrital – UAECD, el cual tiene vigencia hasta el año 2021, al terminar el año 2015 se tenía:</w:t>
      </w:r>
    </w:p>
    <w:p w:rsidR="00AA6318" w:rsidRPr="00AA6318" w:rsidRDefault="00AA6318" w:rsidP="00AA6318">
      <w:pPr>
        <w:spacing w:after="0" w:line="240" w:lineRule="auto"/>
        <w:ind w:left="1134"/>
        <w:jc w:val="both"/>
        <w:rPr>
          <w:rFonts w:ascii="Calibri Light" w:eastAsia="Times New Roman" w:hAnsi="Calibri Light" w:cs="Cambria"/>
          <w:color w:val="000000"/>
          <w:lang w:eastAsia="es-CO"/>
        </w:rPr>
      </w:pPr>
    </w:p>
    <w:tbl>
      <w:tblPr>
        <w:tblStyle w:val="Tabladecuadrcula1clara-nfasis112"/>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47"/>
        <w:gridCol w:w="1331"/>
        <w:gridCol w:w="1335"/>
        <w:gridCol w:w="1333"/>
      </w:tblGrid>
      <w:tr w:rsidR="00AA6318" w:rsidRPr="00D46AF9" w:rsidTr="00AA631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61" w:type="pct"/>
            <w:shd w:val="clear" w:color="auto" w:fill="0070C0"/>
            <w:vAlign w:val="center"/>
            <w:hideMark/>
          </w:tcPr>
          <w:p w:rsidR="00AA6318" w:rsidRPr="00D46AF9" w:rsidRDefault="00AA6318" w:rsidP="00AA6318">
            <w:pPr>
              <w:spacing w:after="160" w:line="259" w:lineRule="auto"/>
              <w:jc w:val="center"/>
              <w:rPr>
                <w:rFonts w:eastAsia="Times New Roman" w:cstheme="minorHAnsi"/>
                <w:color w:val="FFFFFF"/>
                <w:lang w:eastAsia="es-CO"/>
              </w:rPr>
            </w:pPr>
            <w:r w:rsidRPr="00D46AF9">
              <w:rPr>
                <w:rFonts w:eastAsia="Times New Roman" w:cstheme="minorHAnsi"/>
                <w:color w:val="FFFFFF"/>
                <w:lang w:eastAsia="es-CO"/>
              </w:rPr>
              <w:t xml:space="preserve">PUNTOS GEODÉSICOS </w:t>
            </w:r>
          </w:p>
        </w:tc>
        <w:tc>
          <w:tcPr>
            <w:tcW w:w="712" w:type="pct"/>
            <w:shd w:val="clear" w:color="auto" w:fill="0070C0"/>
            <w:vAlign w:val="center"/>
            <w:hideMark/>
          </w:tcPr>
          <w:p w:rsidR="00AA6318" w:rsidRPr="00D46AF9" w:rsidRDefault="00AA6318" w:rsidP="00AA63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eastAsia="es-CO"/>
              </w:rPr>
            </w:pPr>
            <w:r w:rsidRPr="00D46AF9">
              <w:rPr>
                <w:rFonts w:eastAsia="Times New Roman" w:cstheme="minorHAnsi"/>
                <w:color w:val="FFFFFF"/>
                <w:lang w:eastAsia="es-CO"/>
              </w:rPr>
              <w:t>2011</w:t>
            </w:r>
          </w:p>
        </w:tc>
        <w:tc>
          <w:tcPr>
            <w:tcW w:w="714" w:type="pct"/>
            <w:shd w:val="clear" w:color="auto" w:fill="0070C0"/>
            <w:vAlign w:val="center"/>
            <w:hideMark/>
          </w:tcPr>
          <w:p w:rsidR="00AA6318" w:rsidRPr="00D46AF9" w:rsidRDefault="00AA6318" w:rsidP="00AA63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eastAsia="es-CO"/>
              </w:rPr>
            </w:pPr>
            <w:r w:rsidRPr="00D46AF9">
              <w:rPr>
                <w:rFonts w:eastAsia="Times New Roman" w:cstheme="minorHAnsi"/>
                <w:color w:val="FFFFFF"/>
                <w:lang w:eastAsia="es-CO"/>
              </w:rPr>
              <w:t>2013</w:t>
            </w:r>
          </w:p>
        </w:tc>
        <w:tc>
          <w:tcPr>
            <w:tcW w:w="714" w:type="pct"/>
            <w:shd w:val="clear" w:color="auto" w:fill="0070C0"/>
            <w:vAlign w:val="center"/>
            <w:hideMark/>
          </w:tcPr>
          <w:p w:rsidR="00AA6318" w:rsidRPr="00D46AF9" w:rsidRDefault="00AA6318" w:rsidP="00AA63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eastAsia="es-CO"/>
              </w:rPr>
            </w:pPr>
            <w:r w:rsidRPr="00D46AF9">
              <w:rPr>
                <w:rFonts w:eastAsia="Times New Roman" w:cstheme="minorHAnsi"/>
                <w:color w:val="FFFFFF"/>
                <w:lang w:eastAsia="es-CO"/>
              </w:rPr>
              <w:t>2015</w:t>
            </w:r>
          </w:p>
        </w:tc>
      </w:tr>
      <w:tr w:rsidR="00AA6318" w:rsidRPr="00D46AF9" w:rsidTr="00AA6318">
        <w:trPr>
          <w:trHeight w:val="300"/>
          <w:jc w:val="center"/>
        </w:trPr>
        <w:tc>
          <w:tcPr>
            <w:cnfStyle w:val="001000000000" w:firstRow="0" w:lastRow="0" w:firstColumn="1" w:lastColumn="0" w:oddVBand="0" w:evenVBand="0" w:oddHBand="0" w:evenHBand="0" w:firstRowFirstColumn="0" w:firstRowLastColumn="0" w:lastRowFirstColumn="0" w:lastRowLastColumn="0"/>
            <w:tcW w:w="2861" w:type="pct"/>
            <w:shd w:val="clear" w:color="auto" w:fill="EDEDED"/>
            <w:vAlign w:val="center"/>
          </w:tcPr>
          <w:p w:rsidR="00AA6318" w:rsidRPr="00D46AF9" w:rsidRDefault="00AA6318" w:rsidP="00AA6318">
            <w:pPr>
              <w:spacing w:after="160" w:line="259" w:lineRule="auto"/>
              <w:rPr>
                <w:rFonts w:eastAsia="Times New Roman" w:cstheme="minorHAnsi"/>
                <w:b w:val="0"/>
                <w:color w:val="215868" w:themeColor="accent5" w:themeShade="80"/>
              </w:rPr>
            </w:pPr>
            <w:r w:rsidRPr="00D46AF9">
              <w:rPr>
                <w:rFonts w:eastAsia="Times New Roman" w:cstheme="minorHAnsi"/>
                <w:b w:val="0"/>
                <w:color w:val="215868" w:themeColor="accent5" w:themeShade="80"/>
              </w:rPr>
              <w:t>Construidos</w:t>
            </w:r>
          </w:p>
        </w:tc>
        <w:tc>
          <w:tcPr>
            <w:tcW w:w="712"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20</w:t>
            </w:r>
          </w:p>
        </w:tc>
        <w:tc>
          <w:tcPr>
            <w:tcW w:w="714"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42</w:t>
            </w:r>
          </w:p>
        </w:tc>
        <w:tc>
          <w:tcPr>
            <w:tcW w:w="714"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51</w:t>
            </w:r>
          </w:p>
        </w:tc>
      </w:tr>
      <w:tr w:rsidR="00AA6318" w:rsidRPr="00D46AF9" w:rsidTr="00AA6318">
        <w:trPr>
          <w:trHeight w:val="300"/>
          <w:jc w:val="center"/>
        </w:trPr>
        <w:tc>
          <w:tcPr>
            <w:cnfStyle w:val="001000000000" w:firstRow="0" w:lastRow="0" w:firstColumn="1" w:lastColumn="0" w:oddVBand="0" w:evenVBand="0" w:oddHBand="0" w:evenHBand="0" w:firstRowFirstColumn="0" w:firstRowLastColumn="0" w:lastRowFirstColumn="0" w:lastRowLastColumn="0"/>
            <w:tcW w:w="2861" w:type="pct"/>
            <w:shd w:val="clear" w:color="auto" w:fill="EDEDED"/>
            <w:vAlign w:val="center"/>
          </w:tcPr>
          <w:p w:rsidR="00AA6318" w:rsidRPr="00D46AF9" w:rsidRDefault="00AA6318" w:rsidP="00AA6318">
            <w:pPr>
              <w:spacing w:after="160" w:line="259" w:lineRule="auto"/>
              <w:rPr>
                <w:rFonts w:eastAsia="Times New Roman" w:cstheme="minorHAnsi"/>
                <w:b w:val="0"/>
                <w:color w:val="215868" w:themeColor="accent5" w:themeShade="80"/>
              </w:rPr>
            </w:pPr>
            <w:r w:rsidRPr="00D46AF9">
              <w:rPr>
                <w:rFonts w:eastAsia="Times New Roman" w:cstheme="minorHAnsi"/>
                <w:b w:val="0"/>
                <w:color w:val="215868" w:themeColor="accent5" w:themeShade="80"/>
              </w:rPr>
              <w:t>Actualizados</w:t>
            </w:r>
          </w:p>
        </w:tc>
        <w:tc>
          <w:tcPr>
            <w:tcW w:w="712"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4</w:t>
            </w:r>
          </w:p>
        </w:tc>
        <w:tc>
          <w:tcPr>
            <w:tcW w:w="714"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23</w:t>
            </w:r>
          </w:p>
        </w:tc>
        <w:tc>
          <w:tcPr>
            <w:tcW w:w="714"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48</w:t>
            </w:r>
          </w:p>
        </w:tc>
      </w:tr>
      <w:tr w:rsidR="00AA6318" w:rsidRPr="00D46AF9" w:rsidTr="00AA6318">
        <w:trPr>
          <w:trHeight w:val="300"/>
          <w:jc w:val="center"/>
        </w:trPr>
        <w:tc>
          <w:tcPr>
            <w:cnfStyle w:val="001000000000" w:firstRow="0" w:lastRow="0" w:firstColumn="1" w:lastColumn="0" w:oddVBand="0" w:evenVBand="0" w:oddHBand="0" w:evenHBand="0" w:firstRowFirstColumn="0" w:firstRowLastColumn="0" w:lastRowFirstColumn="0" w:lastRowLastColumn="0"/>
            <w:tcW w:w="2861" w:type="pct"/>
            <w:shd w:val="clear" w:color="auto" w:fill="EDEDED"/>
            <w:vAlign w:val="center"/>
          </w:tcPr>
          <w:p w:rsidR="00AA6318" w:rsidRPr="00D46AF9" w:rsidRDefault="00AA6318" w:rsidP="00AA6318">
            <w:pPr>
              <w:spacing w:after="160" w:line="259" w:lineRule="auto"/>
              <w:rPr>
                <w:rFonts w:eastAsia="Times New Roman" w:cstheme="minorHAnsi"/>
                <w:b w:val="0"/>
                <w:color w:val="215868" w:themeColor="accent5" w:themeShade="80"/>
              </w:rPr>
            </w:pPr>
            <w:r w:rsidRPr="00D46AF9">
              <w:rPr>
                <w:rFonts w:eastAsia="Times New Roman" w:cstheme="minorHAnsi"/>
                <w:b w:val="0"/>
                <w:color w:val="215868" w:themeColor="accent5" w:themeShade="80"/>
              </w:rPr>
              <w:t>Sin actualizar*</w:t>
            </w:r>
          </w:p>
        </w:tc>
        <w:tc>
          <w:tcPr>
            <w:tcW w:w="712"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0</w:t>
            </w:r>
          </w:p>
        </w:tc>
        <w:tc>
          <w:tcPr>
            <w:tcW w:w="714"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0</w:t>
            </w:r>
          </w:p>
        </w:tc>
        <w:tc>
          <w:tcPr>
            <w:tcW w:w="714" w:type="pct"/>
            <w:shd w:val="clear" w:color="auto" w:fill="EDEDED"/>
            <w:vAlign w:val="center"/>
          </w:tcPr>
          <w:p w:rsidR="00AA6318" w:rsidRPr="00D46AF9"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D46AF9">
              <w:rPr>
                <w:rFonts w:eastAsia="Times New Roman" w:cstheme="minorHAnsi"/>
                <w:color w:val="215868" w:themeColor="accent5" w:themeShade="80"/>
              </w:rPr>
              <w:t>3</w:t>
            </w:r>
          </w:p>
        </w:tc>
      </w:tr>
    </w:tbl>
    <w:p w:rsidR="00AA6318" w:rsidRPr="000C24D2" w:rsidRDefault="00AA6318" w:rsidP="00AA6318">
      <w:pPr>
        <w:spacing w:after="0" w:line="240" w:lineRule="auto"/>
        <w:ind w:left="567"/>
        <w:jc w:val="center"/>
        <w:rPr>
          <w:rFonts w:eastAsia="Times New Roman" w:cstheme="minorHAnsi"/>
          <w:i/>
          <w:iCs/>
          <w:color w:val="215868" w:themeColor="accent5" w:themeShade="80"/>
          <w:sz w:val="18"/>
          <w:szCs w:val="18"/>
          <w:lang w:eastAsia="es-CO"/>
        </w:rPr>
      </w:pPr>
      <w:bookmarkStart w:id="8" w:name="_Hlk27550578"/>
      <w:r w:rsidRPr="000C24D2">
        <w:rPr>
          <w:rFonts w:eastAsia="Times New Roman" w:cstheme="minorHAnsi"/>
          <w:i/>
          <w:iCs/>
          <w:color w:val="215868" w:themeColor="accent5" w:themeShade="80"/>
          <w:sz w:val="18"/>
          <w:szCs w:val="18"/>
          <w:lang w:eastAsia="es-CO"/>
        </w:rPr>
        <w:t>Tabla. Puntos geodésicos 2011, 2013 y 2015</w:t>
      </w:r>
    </w:p>
    <w:p w:rsidR="00AA6318" w:rsidRPr="000C24D2" w:rsidRDefault="00AA6318" w:rsidP="00AA6318">
      <w:pPr>
        <w:spacing w:after="0" w:line="240" w:lineRule="auto"/>
        <w:ind w:left="567"/>
        <w:jc w:val="center"/>
        <w:rPr>
          <w:rFonts w:eastAsia="Times New Roman" w:cstheme="minorHAnsi"/>
          <w:i/>
          <w:color w:val="215868" w:themeColor="accent5" w:themeShade="80"/>
          <w:sz w:val="18"/>
          <w:szCs w:val="18"/>
          <w:lang w:eastAsia="es-CO"/>
        </w:rPr>
      </w:pPr>
      <w:r w:rsidRPr="000C24D2">
        <w:rPr>
          <w:rFonts w:eastAsia="Times New Roman" w:cstheme="minorHAnsi"/>
          <w:i/>
          <w:color w:val="215868" w:themeColor="accent5" w:themeShade="80"/>
          <w:sz w:val="18"/>
          <w:szCs w:val="18"/>
          <w:lang w:eastAsia="es-CO"/>
        </w:rPr>
        <w:t>*Puntos reubicados, desaparecidos o que por temas de seguridad no fueron ocupados.</w:t>
      </w:r>
    </w:p>
    <w:p w:rsidR="00AA6318" w:rsidRPr="000C24D2" w:rsidRDefault="00AA6318" w:rsidP="00AA6318">
      <w:pPr>
        <w:spacing w:after="0" w:line="240" w:lineRule="auto"/>
        <w:ind w:right="-2"/>
        <w:jc w:val="center"/>
        <w:rPr>
          <w:rFonts w:eastAsia="Batang" w:cstheme="minorHAnsi"/>
          <w:i/>
          <w:iCs/>
          <w:color w:val="215868" w:themeColor="accent5" w:themeShade="80"/>
          <w:spacing w:val="-5"/>
          <w:sz w:val="18"/>
          <w:szCs w:val="18"/>
          <w:lang w:val="es-ES"/>
        </w:rPr>
      </w:pPr>
      <w:r w:rsidRPr="000C24D2">
        <w:rPr>
          <w:rFonts w:eastAsia="Batang" w:cstheme="minorHAnsi"/>
          <w:i/>
          <w:iCs/>
          <w:color w:val="215868" w:themeColor="accent5" w:themeShade="80"/>
          <w:spacing w:val="-5"/>
          <w:sz w:val="18"/>
          <w:szCs w:val="18"/>
          <w:lang w:val="es-ES"/>
        </w:rPr>
        <w:t>Fuente: Gerencia IDECA</w:t>
      </w:r>
    </w:p>
    <w:bookmarkEnd w:id="8"/>
    <w:p w:rsidR="00AA6318" w:rsidRPr="00AA6318" w:rsidRDefault="00AA6318" w:rsidP="00AA6318">
      <w:pPr>
        <w:spacing w:after="0" w:line="240" w:lineRule="auto"/>
        <w:ind w:left="567"/>
        <w:jc w:val="both"/>
        <w:rPr>
          <w:rFonts w:ascii="Calibri Light" w:eastAsia="Times New Roman" w:hAnsi="Calibri Light" w:cs="Cambria"/>
          <w:lang w:val="es-ES_tradnl" w:eastAsia="es-ES"/>
        </w:rPr>
      </w:pPr>
    </w:p>
    <w:p w:rsidR="00AA6318" w:rsidRPr="00AA6318" w:rsidRDefault="00AA6318" w:rsidP="00E07CF6">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Una vez materializadas las estaciones, periódicamente la UAECD y el Servicio Geológico Colombiano han venido adelantando la toma de datos (ocupación) con instrumental geodésico GNSS (Sistema Global de Navegación por Satélite) de alta precisión. </w:t>
      </w:r>
    </w:p>
    <w:p w:rsidR="00AA6318" w:rsidRPr="00AA6318" w:rsidRDefault="00AA6318" w:rsidP="00E07CF6">
      <w:pPr>
        <w:spacing w:after="0" w:line="240" w:lineRule="auto"/>
        <w:jc w:val="both"/>
        <w:rPr>
          <w:rFonts w:cstheme="minorHAnsi"/>
          <w:color w:val="215868" w:themeColor="accent5" w:themeShade="80"/>
          <w:sz w:val="28"/>
          <w:szCs w:val="28"/>
          <w:lang w:val="es-ES"/>
        </w:rPr>
      </w:pPr>
    </w:p>
    <w:p w:rsidR="00AA6318" w:rsidRPr="00AA6318" w:rsidRDefault="00AA6318" w:rsidP="00E07CF6">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En el transcurso del 2018 se actualizó la posición geográfica de 47 de las 51 estaciones de la Red Geodésica de Bogotá y durante 2019 se actualizó la posición geográfica de 44 de las 51 estaciones. Las estaciones restantes no pudieron ser actualizadas debido a inconvenientes en la ocupación por temas de seguridad. </w:t>
      </w:r>
    </w:p>
    <w:p w:rsidR="00AA6318" w:rsidRPr="00AA6318" w:rsidRDefault="00AA6318" w:rsidP="00AA6318">
      <w:pPr>
        <w:spacing w:after="0" w:line="240" w:lineRule="auto"/>
        <w:ind w:left="567"/>
        <w:jc w:val="both"/>
        <w:rPr>
          <w:rFonts w:cstheme="minorHAnsi"/>
          <w:color w:val="215868" w:themeColor="accent5" w:themeShade="80"/>
          <w:sz w:val="28"/>
          <w:szCs w:val="28"/>
          <w:lang w:val="es-ES"/>
        </w:rPr>
      </w:pPr>
    </w:p>
    <w:tbl>
      <w:tblPr>
        <w:tblStyle w:val="Tabladecuadrcula1clara-nfasis1111"/>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59"/>
        <w:gridCol w:w="1796"/>
        <w:gridCol w:w="1791"/>
      </w:tblGrid>
      <w:tr w:rsidR="00AA6318" w:rsidRPr="00AA6318" w:rsidTr="00AA6318">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081" w:type="pct"/>
            <w:shd w:val="clear" w:color="auto" w:fill="0070C0"/>
            <w:vAlign w:val="center"/>
            <w:hideMark/>
          </w:tcPr>
          <w:p w:rsidR="00AA6318" w:rsidRPr="00AA6318" w:rsidRDefault="00AA6318" w:rsidP="00AA6318">
            <w:pPr>
              <w:spacing w:after="160" w:line="259" w:lineRule="auto"/>
              <w:jc w:val="center"/>
              <w:rPr>
                <w:rFonts w:ascii="Calibri Light" w:eastAsia="Times New Roman" w:hAnsi="Calibri Light" w:cs="Cambria"/>
                <w:color w:val="FFFFFF"/>
                <w:lang w:eastAsia="es-CO"/>
              </w:rPr>
            </w:pPr>
            <w:r w:rsidRPr="00AA6318">
              <w:rPr>
                <w:rFonts w:ascii="Calibri Light" w:eastAsia="Times New Roman" w:hAnsi="Calibri Light" w:cs="Cambria"/>
                <w:color w:val="FFFFFF"/>
                <w:lang w:eastAsia="es-CO"/>
              </w:rPr>
              <w:t xml:space="preserve">PUNTOS GEODÉSICOS </w:t>
            </w:r>
          </w:p>
        </w:tc>
        <w:tc>
          <w:tcPr>
            <w:tcW w:w="961" w:type="pct"/>
            <w:shd w:val="clear" w:color="auto" w:fill="0070C0"/>
            <w:vAlign w:val="center"/>
          </w:tcPr>
          <w:p w:rsidR="00AA6318" w:rsidRPr="00AA6318" w:rsidRDefault="00AA6318" w:rsidP="00AA63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mbria"/>
                <w:color w:val="FFFFFF"/>
                <w:lang w:eastAsia="es-CO"/>
              </w:rPr>
            </w:pPr>
            <w:r w:rsidRPr="00AA6318">
              <w:rPr>
                <w:rFonts w:ascii="Calibri Light" w:eastAsia="Times New Roman" w:hAnsi="Calibri Light" w:cs="Cambria"/>
                <w:color w:val="FFFFFF"/>
                <w:lang w:eastAsia="es-CO"/>
              </w:rPr>
              <w:t>2018</w:t>
            </w:r>
          </w:p>
        </w:tc>
        <w:tc>
          <w:tcPr>
            <w:tcW w:w="958" w:type="pct"/>
            <w:shd w:val="clear" w:color="auto" w:fill="0070C0"/>
            <w:vAlign w:val="center"/>
          </w:tcPr>
          <w:p w:rsidR="00AA6318" w:rsidRPr="00AA6318" w:rsidRDefault="00AA6318" w:rsidP="00AA63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mbria"/>
                <w:color w:val="FFFFFF"/>
                <w:lang w:eastAsia="es-CO"/>
              </w:rPr>
            </w:pPr>
            <w:r w:rsidRPr="00AA6318">
              <w:rPr>
                <w:rFonts w:ascii="Calibri Light" w:eastAsia="Times New Roman" w:hAnsi="Calibri Light" w:cs="Cambria"/>
                <w:color w:val="FFFFFF"/>
                <w:lang w:eastAsia="es-CO"/>
              </w:rPr>
              <w:t>2019</w:t>
            </w:r>
          </w:p>
        </w:tc>
      </w:tr>
      <w:tr w:rsidR="00AA6318" w:rsidRPr="00AA6318" w:rsidTr="00AA6318">
        <w:trPr>
          <w:trHeight w:val="354"/>
          <w:jc w:val="center"/>
        </w:trPr>
        <w:tc>
          <w:tcPr>
            <w:cnfStyle w:val="001000000000" w:firstRow="0" w:lastRow="0" w:firstColumn="1" w:lastColumn="0" w:oddVBand="0" w:evenVBand="0" w:oddHBand="0" w:evenHBand="0" w:firstRowFirstColumn="0" w:firstRowLastColumn="0" w:lastRowFirstColumn="0" w:lastRowLastColumn="0"/>
            <w:tcW w:w="3081" w:type="pct"/>
            <w:shd w:val="clear" w:color="auto" w:fill="EDEDED"/>
            <w:vAlign w:val="center"/>
          </w:tcPr>
          <w:p w:rsidR="00AA6318" w:rsidRPr="00E07CF6" w:rsidRDefault="00AA6318" w:rsidP="00AA6318">
            <w:pPr>
              <w:spacing w:after="160" w:line="259" w:lineRule="auto"/>
              <w:rPr>
                <w:rFonts w:eastAsia="Times New Roman" w:cstheme="minorHAnsi"/>
                <w:b w:val="0"/>
                <w:color w:val="215868" w:themeColor="accent5" w:themeShade="80"/>
              </w:rPr>
            </w:pPr>
            <w:r w:rsidRPr="00E07CF6">
              <w:rPr>
                <w:rFonts w:eastAsia="Times New Roman" w:cstheme="minorHAnsi"/>
                <w:b w:val="0"/>
                <w:color w:val="215868" w:themeColor="accent5" w:themeShade="80"/>
              </w:rPr>
              <w:t>Construidos</w:t>
            </w:r>
          </w:p>
        </w:tc>
        <w:tc>
          <w:tcPr>
            <w:tcW w:w="961" w:type="pct"/>
            <w:shd w:val="clear" w:color="auto" w:fill="EDEDED"/>
            <w:vAlign w:val="center"/>
          </w:tcPr>
          <w:p w:rsidR="00AA6318" w:rsidRPr="00E07CF6"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E07CF6">
              <w:rPr>
                <w:rFonts w:eastAsia="Times New Roman" w:cstheme="minorHAnsi"/>
                <w:color w:val="215868" w:themeColor="accent5" w:themeShade="80"/>
              </w:rPr>
              <w:t>51</w:t>
            </w:r>
          </w:p>
        </w:tc>
        <w:tc>
          <w:tcPr>
            <w:tcW w:w="958" w:type="pct"/>
            <w:shd w:val="clear" w:color="auto" w:fill="EDEDED"/>
            <w:vAlign w:val="center"/>
          </w:tcPr>
          <w:p w:rsidR="00AA6318" w:rsidRPr="00E07CF6"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E07CF6">
              <w:rPr>
                <w:rFonts w:eastAsia="Times New Roman" w:cstheme="minorHAnsi"/>
                <w:color w:val="215868" w:themeColor="accent5" w:themeShade="80"/>
              </w:rPr>
              <w:t>51</w:t>
            </w:r>
          </w:p>
        </w:tc>
      </w:tr>
      <w:tr w:rsidR="00AA6318" w:rsidRPr="00AA6318" w:rsidTr="00AA6318">
        <w:trPr>
          <w:trHeight w:val="354"/>
          <w:jc w:val="center"/>
        </w:trPr>
        <w:tc>
          <w:tcPr>
            <w:cnfStyle w:val="001000000000" w:firstRow="0" w:lastRow="0" w:firstColumn="1" w:lastColumn="0" w:oddVBand="0" w:evenVBand="0" w:oddHBand="0" w:evenHBand="0" w:firstRowFirstColumn="0" w:firstRowLastColumn="0" w:lastRowFirstColumn="0" w:lastRowLastColumn="0"/>
            <w:tcW w:w="3081" w:type="pct"/>
            <w:shd w:val="clear" w:color="auto" w:fill="EDEDED"/>
            <w:vAlign w:val="center"/>
          </w:tcPr>
          <w:p w:rsidR="00AA6318" w:rsidRPr="00E07CF6" w:rsidRDefault="00AA6318" w:rsidP="00AA6318">
            <w:pPr>
              <w:spacing w:after="160" w:line="259" w:lineRule="auto"/>
              <w:rPr>
                <w:rFonts w:eastAsia="Times New Roman" w:cstheme="minorHAnsi"/>
                <w:b w:val="0"/>
                <w:color w:val="215868" w:themeColor="accent5" w:themeShade="80"/>
              </w:rPr>
            </w:pPr>
            <w:r w:rsidRPr="00E07CF6">
              <w:rPr>
                <w:rFonts w:eastAsia="Times New Roman" w:cstheme="minorHAnsi"/>
                <w:b w:val="0"/>
                <w:color w:val="215868" w:themeColor="accent5" w:themeShade="80"/>
              </w:rPr>
              <w:t>Actualizados</w:t>
            </w:r>
          </w:p>
        </w:tc>
        <w:tc>
          <w:tcPr>
            <w:tcW w:w="961" w:type="pct"/>
            <w:shd w:val="clear" w:color="auto" w:fill="EDEDED"/>
            <w:vAlign w:val="center"/>
          </w:tcPr>
          <w:p w:rsidR="00AA6318" w:rsidRPr="00E07CF6"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E07CF6">
              <w:rPr>
                <w:rFonts w:eastAsia="Times New Roman" w:cstheme="minorHAnsi"/>
                <w:color w:val="215868" w:themeColor="accent5" w:themeShade="80"/>
              </w:rPr>
              <w:t>47</w:t>
            </w:r>
          </w:p>
        </w:tc>
        <w:tc>
          <w:tcPr>
            <w:tcW w:w="958" w:type="pct"/>
            <w:shd w:val="clear" w:color="auto" w:fill="EDEDED"/>
            <w:vAlign w:val="center"/>
          </w:tcPr>
          <w:p w:rsidR="00AA6318" w:rsidRPr="00E07CF6"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E07CF6">
              <w:rPr>
                <w:rFonts w:eastAsia="Times New Roman" w:cstheme="minorHAnsi"/>
                <w:color w:val="215868" w:themeColor="accent5" w:themeShade="80"/>
              </w:rPr>
              <w:t>44</w:t>
            </w:r>
          </w:p>
        </w:tc>
      </w:tr>
      <w:tr w:rsidR="00AA6318" w:rsidRPr="00AA6318" w:rsidTr="00AA6318">
        <w:trPr>
          <w:trHeight w:val="354"/>
          <w:jc w:val="center"/>
        </w:trPr>
        <w:tc>
          <w:tcPr>
            <w:cnfStyle w:val="001000000000" w:firstRow="0" w:lastRow="0" w:firstColumn="1" w:lastColumn="0" w:oddVBand="0" w:evenVBand="0" w:oddHBand="0" w:evenHBand="0" w:firstRowFirstColumn="0" w:firstRowLastColumn="0" w:lastRowFirstColumn="0" w:lastRowLastColumn="0"/>
            <w:tcW w:w="3081" w:type="pct"/>
            <w:shd w:val="clear" w:color="auto" w:fill="EDEDED"/>
            <w:vAlign w:val="center"/>
          </w:tcPr>
          <w:p w:rsidR="00AA6318" w:rsidRPr="00E07CF6" w:rsidRDefault="00AA6318" w:rsidP="00AA6318">
            <w:pPr>
              <w:spacing w:after="160" w:line="259" w:lineRule="auto"/>
              <w:rPr>
                <w:rFonts w:eastAsia="Times New Roman" w:cstheme="minorHAnsi"/>
                <w:b w:val="0"/>
                <w:color w:val="215868" w:themeColor="accent5" w:themeShade="80"/>
              </w:rPr>
            </w:pPr>
            <w:r w:rsidRPr="00E07CF6">
              <w:rPr>
                <w:rFonts w:eastAsia="Times New Roman" w:cstheme="minorHAnsi"/>
                <w:b w:val="0"/>
                <w:color w:val="215868" w:themeColor="accent5" w:themeShade="80"/>
              </w:rPr>
              <w:t>Sin actualizar*</w:t>
            </w:r>
          </w:p>
        </w:tc>
        <w:tc>
          <w:tcPr>
            <w:tcW w:w="961" w:type="pct"/>
            <w:shd w:val="clear" w:color="auto" w:fill="EDEDED"/>
            <w:vAlign w:val="center"/>
          </w:tcPr>
          <w:p w:rsidR="00AA6318" w:rsidRPr="00E07CF6"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E07CF6">
              <w:rPr>
                <w:rFonts w:eastAsia="Times New Roman" w:cstheme="minorHAnsi"/>
                <w:color w:val="215868" w:themeColor="accent5" w:themeShade="80"/>
              </w:rPr>
              <w:t>4</w:t>
            </w:r>
          </w:p>
        </w:tc>
        <w:tc>
          <w:tcPr>
            <w:tcW w:w="958" w:type="pct"/>
            <w:shd w:val="clear" w:color="auto" w:fill="EDEDED"/>
            <w:vAlign w:val="center"/>
          </w:tcPr>
          <w:p w:rsidR="00AA6318" w:rsidRPr="00E07CF6" w:rsidRDefault="00AA6318" w:rsidP="00AA631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215868" w:themeColor="accent5" w:themeShade="80"/>
              </w:rPr>
            </w:pPr>
            <w:r w:rsidRPr="00E07CF6">
              <w:rPr>
                <w:rFonts w:eastAsia="Times New Roman" w:cstheme="minorHAnsi"/>
                <w:color w:val="215868" w:themeColor="accent5" w:themeShade="80"/>
              </w:rPr>
              <w:t>7</w:t>
            </w:r>
          </w:p>
        </w:tc>
      </w:tr>
    </w:tbl>
    <w:p w:rsidR="00AA6318" w:rsidRPr="00E07CF6" w:rsidRDefault="00AA6318" w:rsidP="00AA6318">
      <w:pPr>
        <w:spacing w:after="0" w:line="240" w:lineRule="auto"/>
        <w:ind w:left="567"/>
        <w:jc w:val="center"/>
        <w:rPr>
          <w:rFonts w:eastAsia="Times New Roman" w:cstheme="minorHAnsi"/>
          <w:i/>
          <w:color w:val="215868" w:themeColor="accent5" w:themeShade="80"/>
          <w:sz w:val="18"/>
          <w:szCs w:val="18"/>
          <w:lang w:eastAsia="es-CO"/>
        </w:rPr>
      </w:pPr>
      <w:bookmarkStart w:id="9" w:name="_Hlk27550583"/>
      <w:r w:rsidRPr="00E07CF6">
        <w:rPr>
          <w:rFonts w:eastAsia="Times New Roman" w:cstheme="minorHAnsi"/>
          <w:i/>
          <w:color w:val="215868" w:themeColor="accent5" w:themeShade="80"/>
          <w:sz w:val="18"/>
          <w:szCs w:val="18"/>
          <w:lang w:eastAsia="es-CO"/>
        </w:rPr>
        <w:t>Tabla. Puntos geodésicos 2018 y 2019</w:t>
      </w:r>
    </w:p>
    <w:p w:rsidR="00AA6318" w:rsidRPr="00E07CF6" w:rsidRDefault="00AA6318" w:rsidP="00AA6318">
      <w:pPr>
        <w:spacing w:after="0" w:line="240" w:lineRule="auto"/>
        <w:ind w:left="567"/>
        <w:jc w:val="center"/>
        <w:rPr>
          <w:rFonts w:eastAsia="Times New Roman" w:cstheme="minorHAnsi"/>
          <w:i/>
          <w:color w:val="215868" w:themeColor="accent5" w:themeShade="80"/>
          <w:sz w:val="18"/>
          <w:szCs w:val="18"/>
          <w:lang w:eastAsia="es-CO"/>
        </w:rPr>
      </w:pPr>
      <w:r w:rsidRPr="00E07CF6">
        <w:rPr>
          <w:rFonts w:eastAsia="Times New Roman" w:cstheme="minorHAnsi"/>
          <w:i/>
          <w:color w:val="215868" w:themeColor="accent5" w:themeShade="80"/>
          <w:sz w:val="18"/>
          <w:szCs w:val="18"/>
          <w:lang w:eastAsia="es-CO"/>
        </w:rPr>
        <w:t>*Puntos reubicados, desaparecidos o que por temas de seguridad no fueron ocupados</w:t>
      </w:r>
      <w:bookmarkEnd w:id="9"/>
      <w:r w:rsidRPr="00E07CF6">
        <w:rPr>
          <w:rFonts w:eastAsia="Times New Roman" w:cstheme="minorHAnsi"/>
          <w:i/>
          <w:color w:val="215868" w:themeColor="accent5" w:themeShade="80"/>
          <w:sz w:val="18"/>
          <w:szCs w:val="18"/>
          <w:lang w:eastAsia="es-CO"/>
        </w:rPr>
        <w:t>.</w:t>
      </w:r>
    </w:p>
    <w:p w:rsidR="00AA6318" w:rsidRPr="00E07CF6" w:rsidRDefault="00AA6318" w:rsidP="00AA6318">
      <w:pPr>
        <w:spacing w:after="0" w:line="240" w:lineRule="auto"/>
        <w:ind w:right="-2"/>
        <w:jc w:val="center"/>
        <w:rPr>
          <w:rFonts w:eastAsia="Times New Roman" w:cstheme="minorHAnsi"/>
          <w:i/>
          <w:color w:val="215868" w:themeColor="accent5" w:themeShade="80"/>
          <w:sz w:val="18"/>
          <w:szCs w:val="18"/>
          <w:lang w:eastAsia="es-CO"/>
        </w:rPr>
      </w:pPr>
      <w:r w:rsidRPr="00E07CF6">
        <w:rPr>
          <w:rFonts w:eastAsia="Times New Roman" w:cstheme="minorHAnsi"/>
          <w:i/>
          <w:color w:val="215868" w:themeColor="accent5" w:themeShade="80"/>
          <w:sz w:val="18"/>
          <w:szCs w:val="18"/>
          <w:lang w:eastAsia="es-CO"/>
        </w:rPr>
        <w:t>Fuente: Gerencia IDECA</w:t>
      </w:r>
    </w:p>
    <w:p w:rsidR="00AA6318" w:rsidRPr="00AA6318" w:rsidRDefault="00AA6318" w:rsidP="00AA6318">
      <w:pPr>
        <w:spacing w:after="0" w:line="240" w:lineRule="auto"/>
        <w:ind w:left="567"/>
        <w:jc w:val="both"/>
        <w:rPr>
          <w:rFonts w:cstheme="minorHAnsi"/>
          <w:color w:val="215868" w:themeColor="accent5" w:themeShade="80"/>
          <w:sz w:val="28"/>
          <w:szCs w:val="28"/>
          <w:lang w:val="es-ES"/>
        </w:rPr>
      </w:pPr>
    </w:p>
    <w:p w:rsidR="00AA6318" w:rsidRPr="00AA6318" w:rsidRDefault="00AA6318" w:rsidP="00E07CF6">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Para la actualización de esta información, la UAECD realizó la gestión para la obtención de los permisos de los propietarios de los predios, así como la logística relacionada con el transporte del personal técnico y equipos a las estaciones programadas y la seguridad de éstos (vigilancia 24 horas durante los días de la ocupación). Además, suministró dos auxiliares de campo como apoyo en la instalación de los receptores.</w:t>
      </w:r>
    </w:p>
    <w:p w:rsidR="00AA6318" w:rsidRPr="00AA6318" w:rsidRDefault="00AA6318" w:rsidP="00E07CF6">
      <w:pPr>
        <w:spacing w:after="0" w:line="240" w:lineRule="auto"/>
        <w:jc w:val="both"/>
        <w:rPr>
          <w:rFonts w:ascii="Calibri Light" w:eastAsia="Times New Roman" w:hAnsi="Calibri Light" w:cs="Cambria"/>
          <w:lang w:val="es-ES_tradnl" w:eastAsia="es-ES"/>
        </w:rPr>
      </w:pPr>
      <w:r w:rsidRPr="00AA6318">
        <w:rPr>
          <w:rFonts w:ascii="Calibri Light" w:eastAsia="Times New Roman" w:hAnsi="Calibri Light" w:cs="Cambria"/>
          <w:lang w:val="es-ES_tradnl" w:eastAsia="es-ES"/>
        </w:rPr>
        <w:t> </w:t>
      </w:r>
    </w:p>
    <w:p w:rsidR="00AA6318" w:rsidRPr="00AA6318" w:rsidRDefault="00AA6318" w:rsidP="00E07CF6">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Hoy Bogotá cuenta con 44 puntos geodésicos actualizados, los cuales constituyen el insumo fundamental para la producción de información cartográfica de alta precisión en Bogotá. La entrega de información resultado del procesamiento de los datos en el Centro Nacional de Procesamiento Científico de Datos GNSS, se dispone en la plataforma IDECA. </w:t>
      </w:r>
    </w:p>
    <w:p w:rsidR="00AA6318" w:rsidRDefault="00AA6318" w:rsidP="00E07CF6">
      <w:pPr>
        <w:spacing w:after="0"/>
        <w:rPr>
          <w:rFonts w:cstheme="minorHAnsi"/>
          <w:color w:val="215868" w:themeColor="accent5" w:themeShade="80"/>
          <w:sz w:val="28"/>
          <w:szCs w:val="28"/>
          <w:lang w:val="es-ES_tradnl"/>
        </w:rPr>
      </w:pPr>
    </w:p>
    <w:p w:rsidR="00AA6318" w:rsidRDefault="00AA6318" w:rsidP="009E2852">
      <w:pPr>
        <w:pStyle w:val="Prrafodelista"/>
        <w:numPr>
          <w:ilvl w:val="0"/>
          <w:numId w:val="15"/>
        </w:numPr>
        <w:spacing w:after="0"/>
        <w:ind w:left="426" w:hanging="426"/>
        <w:rPr>
          <w:rFonts w:cstheme="minorHAnsi"/>
          <w:b/>
          <w:color w:val="215868" w:themeColor="accent5" w:themeShade="80"/>
          <w:sz w:val="28"/>
          <w:szCs w:val="28"/>
          <w:lang w:val="es-ES"/>
        </w:rPr>
      </w:pPr>
      <w:bookmarkStart w:id="10" w:name="_Toc30162283"/>
      <w:r w:rsidRPr="00AA6318">
        <w:rPr>
          <w:rFonts w:cstheme="minorHAnsi"/>
          <w:b/>
          <w:color w:val="215868" w:themeColor="accent5" w:themeShade="80"/>
          <w:sz w:val="28"/>
          <w:szCs w:val="28"/>
          <w:lang w:val="es-ES"/>
        </w:rPr>
        <w:t>Consolidación y administración de información sobre ciudadanos de Bogotá</w:t>
      </w:r>
      <w:bookmarkEnd w:id="10"/>
    </w:p>
    <w:p w:rsidR="00AA6318" w:rsidRDefault="00AA6318" w:rsidP="00E07CF6">
      <w:pPr>
        <w:spacing w:after="0" w:line="240" w:lineRule="auto"/>
        <w:jc w:val="both"/>
        <w:rPr>
          <w:rFonts w:cstheme="minorHAnsi"/>
          <w:color w:val="215868" w:themeColor="accent5" w:themeShade="80"/>
          <w:sz w:val="28"/>
          <w:szCs w:val="28"/>
          <w:lang w:val="es-ES"/>
        </w:rPr>
      </w:pPr>
    </w:p>
    <w:p w:rsidR="00AA6318" w:rsidRPr="00AA6318" w:rsidRDefault="00AA6318" w:rsidP="00E07CF6">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 xml:space="preserve">Una de las principales problemáticas de la Administración Distrital plasmada en el Plan de Desarrollo Distrital 2017-2020 “Bogotá Mejor Para Todos”, identifica que aún “las bases de datos y los sistemas de información del Gobierno Distrital no apuntan a consolidar una ciudadanía digital completa que facilite el accionar de la administración frente a las necesidades ciudadanas y la participación de los habitantes en la solución de sus problemas”. Conocer estas necesidades ciudadanas permitirán a las entidades de la Administración Distrital, no sólo crear una mayor cercanía con el ciudadano, sino encausar sus planes de acción para la creación y/o mejoramiento de servicios, beneficios y/ programas del Distrito. </w:t>
      </w:r>
    </w:p>
    <w:p w:rsidR="00AA6318" w:rsidRPr="00AA6318" w:rsidRDefault="00AA6318" w:rsidP="00E07CF6">
      <w:pPr>
        <w:spacing w:after="0" w:line="240" w:lineRule="auto"/>
        <w:jc w:val="both"/>
        <w:rPr>
          <w:rFonts w:cstheme="minorHAnsi"/>
          <w:color w:val="215868" w:themeColor="accent5" w:themeShade="80"/>
          <w:sz w:val="28"/>
          <w:szCs w:val="28"/>
          <w:lang w:val="es-ES"/>
        </w:rPr>
      </w:pPr>
    </w:p>
    <w:p w:rsidR="00AA6318" w:rsidRDefault="00AA6318" w:rsidP="00E07CF6">
      <w:pPr>
        <w:spacing w:after="0" w:line="240" w:lineRule="auto"/>
        <w:jc w:val="both"/>
        <w:rPr>
          <w:rFonts w:cstheme="minorHAnsi"/>
          <w:color w:val="215868" w:themeColor="accent5" w:themeShade="80"/>
          <w:sz w:val="28"/>
          <w:szCs w:val="28"/>
          <w:lang w:val="es-ES"/>
        </w:rPr>
      </w:pPr>
      <w:r w:rsidRPr="00AA6318">
        <w:rPr>
          <w:rFonts w:cstheme="minorHAnsi"/>
          <w:color w:val="215868" w:themeColor="accent5" w:themeShade="80"/>
          <w:sz w:val="28"/>
          <w:szCs w:val="28"/>
          <w:lang w:val="es-ES"/>
        </w:rPr>
        <w:t>En este sentido, la actual administración consideró de gran importancia iniciar un proyecto orientado a lograr una caracterización de los usuarios, a partir de la información que hoy poseen y disponen las entidades, y que a través de la IDE de Bogotá se busca consolidar y potencializar, con las salvedades y/o restricciones vinculadas a dicha información, con el propósito, único y exclusivamente, del ejercicio de funciones públicas y administrativas de las entidades del Distrito Capital para el logro del cumplimiento de su objeto misional.</w:t>
      </w:r>
    </w:p>
    <w:p w:rsidR="00982076" w:rsidRPr="00982076" w:rsidRDefault="00982076" w:rsidP="00E07CF6">
      <w:pPr>
        <w:spacing w:after="0" w:line="240" w:lineRule="auto"/>
        <w:jc w:val="both"/>
        <w:rPr>
          <w:rFonts w:cstheme="minorHAnsi"/>
          <w:color w:val="215868" w:themeColor="accent5" w:themeShade="80"/>
          <w:sz w:val="28"/>
          <w:szCs w:val="28"/>
          <w:lang w:val="es-ES"/>
        </w:rPr>
      </w:pPr>
    </w:p>
    <w:p w:rsidR="00982076" w:rsidRPr="00982076" w:rsidRDefault="00982076" w:rsidP="00E07CF6">
      <w:pPr>
        <w:spacing w:after="0" w:line="240" w:lineRule="auto"/>
        <w:jc w:val="both"/>
        <w:rPr>
          <w:rFonts w:cstheme="minorHAnsi"/>
          <w:color w:val="215868" w:themeColor="accent5" w:themeShade="80"/>
          <w:sz w:val="28"/>
          <w:szCs w:val="28"/>
          <w:lang w:val="es-ES"/>
        </w:rPr>
      </w:pPr>
      <w:r w:rsidRPr="00982076">
        <w:rPr>
          <w:rFonts w:cstheme="minorHAnsi"/>
          <w:color w:val="215868" w:themeColor="accent5" w:themeShade="80"/>
          <w:sz w:val="28"/>
          <w:szCs w:val="28"/>
          <w:lang w:val="es-ES"/>
        </w:rPr>
        <w:t>Al cierre de la vigencia, se realizó la gestión de información para base de datos de ciudadanos, de nuevas entidades como:</w:t>
      </w:r>
    </w:p>
    <w:p w:rsidR="00982076" w:rsidRPr="00982076" w:rsidRDefault="00982076" w:rsidP="00982076">
      <w:pPr>
        <w:spacing w:after="0" w:line="240" w:lineRule="auto"/>
        <w:ind w:left="-567"/>
        <w:jc w:val="both"/>
        <w:rPr>
          <w:rFonts w:cstheme="minorHAnsi"/>
          <w:color w:val="215868" w:themeColor="accent5" w:themeShade="80"/>
          <w:sz w:val="28"/>
          <w:szCs w:val="28"/>
          <w:lang w:val="es-ES"/>
        </w:rPr>
      </w:pPr>
    </w:p>
    <w:p w:rsidR="00982076" w:rsidRPr="00982076" w:rsidRDefault="00982076" w:rsidP="009E2852">
      <w:pPr>
        <w:pStyle w:val="Prrafodelista"/>
        <w:numPr>
          <w:ilvl w:val="1"/>
          <w:numId w:val="16"/>
        </w:numPr>
        <w:spacing w:after="0" w:line="240" w:lineRule="auto"/>
        <w:ind w:left="567" w:hanging="567"/>
        <w:jc w:val="both"/>
        <w:rPr>
          <w:rFonts w:cstheme="minorHAnsi"/>
          <w:color w:val="215868" w:themeColor="accent5" w:themeShade="80"/>
          <w:sz w:val="28"/>
          <w:szCs w:val="28"/>
          <w:lang w:val="es-ES"/>
        </w:rPr>
      </w:pPr>
      <w:r w:rsidRPr="00982076">
        <w:rPr>
          <w:rFonts w:cstheme="minorHAnsi"/>
          <w:color w:val="215868" w:themeColor="accent5" w:themeShade="80"/>
          <w:sz w:val="28"/>
          <w:szCs w:val="28"/>
          <w:lang w:val="es-ES"/>
        </w:rPr>
        <w:t>Secretaría General - Alta Consejería para los Derechos de las Víctimas la Paz y la Reconciliación, se adelantó el cargue de 236.325 registros asociados a la demografía de las víctimas registradas.</w:t>
      </w:r>
    </w:p>
    <w:p w:rsidR="00982076" w:rsidRPr="00982076" w:rsidRDefault="00982076" w:rsidP="00E07CF6">
      <w:pPr>
        <w:spacing w:after="0" w:line="240" w:lineRule="auto"/>
        <w:ind w:left="567"/>
        <w:jc w:val="both"/>
        <w:rPr>
          <w:rFonts w:cstheme="minorHAnsi"/>
          <w:color w:val="215868" w:themeColor="accent5" w:themeShade="80"/>
          <w:sz w:val="28"/>
          <w:szCs w:val="28"/>
          <w:lang w:val="es-ES"/>
        </w:rPr>
      </w:pPr>
    </w:p>
    <w:p w:rsidR="00982076" w:rsidRPr="00982076" w:rsidRDefault="00982076" w:rsidP="009E2852">
      <w:pPr>
        <w:pStyle w:val="Prrafodelista"/>
        <w:numPr>
          <w:ilvl w:val="1"/>
          <w:numId w:val="16"/>
        </w:numPr>
        <w:spacing w:after="0" w:line="240" w:lineRule="auto"/>
        <w:ind w:left="567" w:hanging="567"/>
        <w:jc w:val="both"/>
        <w:rPr>
          <w:rFonts w:cstheme="minorHAnsi"/>
          <w:color w:val="215868" w:themeColor="accent5" w:themeShade="80"/>
          <w:sz w:val="28"/>
          <w:szCs w:val="28"/>
          <w:lang w:val="es-ES"/>
        </w:rPr>
      </w:pPr>
      <w:r w:rsidRPr="00982076">
        <w:rPr>
          <w:rFonts w:cstheme="minorHAnsi"/>
          <w:color w:val="215868" w:themeColor="accent5" w:themeShade="80"/>
          <w:sz w:val="28"/>
          <w:szCs w:val="28"/>
          <w:lang w:val="es-ES"/>
        </w:rPr>
        <w:t>Caja de Vivienda Popular, se enriqueció la base de datos con 7.517 registros relacionados con procesos de mejoramiento de barrios y vivienda, titulación y reasentamientos.</w:t>
      </w:r>
    </w:p>
    <w:p w:rsidR="00982076" w:rsidRPr="00982076" w:rsidRDefault="00982076" w:rsidP="00E07CF6">
      <w:pPr>
        <w:spacing w:after="0" w:line="240" w:lineRule="auto"/>
        <w:ind w:left="567"/>
        <w:jc w:val="both"/>
        <w:rPr>
          <w:rFonts w:cstheme="minorHAnsi"/>
          <w:color w:val="215868" w:themeColor="accent5" w:themeShade="80"/>
          <w:sz w:val="28"/>
          <w:szCs w:val="28"/>
          <w:lang w:val="es-ES"/>
        </w:rPr>
      </w:pPr>
    </w:p>
    <w:p w:rsidR="00982076" w:rsidRPr="00982076" w:rsidRDefault="00982076" w:rsidP="009E2852">
      <w:pPr>
        <w:pStyle w:val="Prrafodelista"/>
        <w:numPr>
          <w:ilvl w:val="1"/>
          <w:numId w:val="16"/>
        </w:numPr>
        <w:spacing w:after="0" w:line="240" w:lineRule="auto"/>
        <w:ind w:left="567" w:hanging="567"/>
        <w:jc w:val="both"/>
        <w:rPr>
          <w:rFonts w:cstheme="minorHAnsi"/>
          <w:color w:val="215868" w:themeColor="accent5" w:themeShade="80"/>
          <w:sz w:val="28"/>
          <w:szCs w:val="28"/>
          <w:lang w:val="es-ES"/>
        </w:rPr>
      </w:pPr>
      <w:r w:rsidRPr="00982076">
        <w:rPr>
          <w:rFonts w:cstheme="minorHAnsi"/>
          <w:color w:val="215868" w:themeColor="accent5" w:themeShade="80"/>
          <w:sz w:val="28"/>
          <w:szCs w:val="28"/>
          <w:lang w:val="es-ES"/>
        </w:rPr>
        <w:t>Secretaría Distrital de Hacienda, se realizó el cargue de 7.675.826 registros asociados a información de contribuyentes de impuesto predial y de vehículos.</w:t>
      </w:r>
    </w:p>
    <w:p w:rsidR="00982076" w:rsidRPr="00982076" w:rsidRDefault="00982076" w:rsidP="00E07CF6">
      <w:pPr>
        <w:spacing w:after="0" w:line="240" w:lineRule="auto"/>
        <w:ind w:left="567"/>
        <w:jc w:val="both"/>
        <w:rPr>
          <w:rFonts w:cstheme="minorHAnsi"/>
          <w:color w:val="215868" w:themeColor="accent5" w:themeShade="80"/>
          <w:sz w:val="28"/>
          <w:szCs w:val="28"/>
          <w:lang w:val="es-ES"/>
        </w:rPr>
      </w:pPr>
    </w:p>
    <w:p w:rsidR="00982076" w:rsidRDefault="00982076" w:rsidP="00E07CF6">
      <w:pPr>
        <w:spacing w:after="0" w:line="240" w:lineRule="auto"/>
        <w:jc w:val="both"/>
        <w:rPr>
          <w:rFonts w:cstheme="minorHAnsi"/>
          <w:color w:val="215868" w:themeColor="accent5" w:themeShade="80"/>
          <w:sz w:val="28"/>
          <w:szCs w:val="28"/>
          <w:lang w:val="es-ES"/>
        </w:rPr>
      </w:pPr>
      <w:r w:rsidRPr="00982076">
        <w:rPr>
          <w:rFonts w:cstheme="minorHAnsi"/>
          <w:color w:val="215868" w:themeColor="accent5" w:themeShade="80"/>
          <w:sz w:val="28"/>
          <w:szCs w:val="28"/>
          <w:lang w:val="es-ES"/>
        </w:rPr>
        <w:t>Por otro lado, se gestionó la información de pensionados con el FONCEP y la de atención de ciudadanos de la UAECD. Cabe mencionar que la información anteriormente mencionada es utilizada y procesada de acuerdo con las condiciones establecidas por las entidades custodias.</w:t>
      </w:r>
    </w:p>
    <w:p w:rsidR="00982076" w:rsidRDefault="00982076" w:rsidP="00E07CF6">
      <w:pPr>
        <w:spacing w:after="0" w:line="240" w:lineRule="auto"/>
        <w:ind w:left="567"/>
        <w:jc w:val="both"/>
        <w:rPr>
          <w:rFonts w:cstheme="minorHAnsi"/>
          <w:color w:val="215868" w:themeColor="accent5" w:themeShade="80"/>
          <w:sz w:val="28"/>
          <w:szCs w:val="28"/>
          <w:lang w:val="es-ES"/>
        </w:rPr>
      </w:pPr>
    </w:p>
    <w:p w:rsidR="00982076" w:rsidRPr="00AA6318" w:rsidRDefault="00982076" w:rsidP="009E2852">
      <w:pPr>
        <w:pStyle w:val="Prrafodelista"/>
        <w:numPr>
          <w:ilvl w:val="0"/>
          <w:numId w:val="15"/>
        </w:numPr>
        <w:spacing w:after="0"/>
        <w:ind w:left="567"/>
        <w:rPr>
          <w:rFonts w:cstheme="minorHAnsi"/>
          <w:b/>
          <w:color w:val="215868" w:themeColor="accent5" w:themeShade="80"/>
          <w:sz w:val="28"/>
          <w:szCs w:val="28"/>
          <w:lang w:val="es-ES"/>
        </w:rPr>
      </w:pPr>
      <w:r w:rsidRPr="00982076">
        <w:rPr>
          <w:rFonts w:cstheme="minorHAnsi"/>
          <w:b/>
          <w:color w:val="215868" w:themeColor="accent5" w:themeShade="80"/>
          <w:sz w:val="28"/>
          <w:szCs w:val="28"/>
          <w:lang w:val="es-ES"/>
        </w:rPr>
        <w:t>Información geográfica complementada con sensores remotos</w:t>
      </w:r>
    </w:p>
    <w:p w:rsidR="00CE791F" w:rsidRPr="00CE791F" w:rsidRDefault="00CE791F" w:rsidP="00E07CF6">
      <w:pPr>
        <w:spacing w:after="0" w:line="240" w:lineRule="auto"/>
        <w:ind w:left="567"/>
        <w:jc w:val="both"/>
        <w:rPr>
          <w:rFonts w:cstheme="minorHAnsi"/>
          <w:color w:val="215868" w:themeColor="accent5" w:themeShade="80"/>
          <w:sz w:val="28"/>
          <w:szCs w:val="28"/>
          <w:lang w:val="es-ES"/>
        </w:rPr>
      </w:pPr>
    </w:p>
    <w:p w:rsidR="00CE791F" w:rsidRDefault="00CE791F" w:rsidP="00E07CF6">
      <w:pPr>
        <w:spacing w:after="0" w:line="240" w:lineRule="auto"/>
        <w:jc w:val="both"/>
        <w:rPr>
          <w:rFonts w:cstheme="minorHAnsi"/>
          <w:color w:val="215868" w:themeColor="accent5" w:themeShade="80"/>
          <w:sz w:val="28"/>
          <w:szCs w:val="28"/>
          <w:lang w:val="es-ES"/>
        </w:rPr>
      </w:pPr>
      <w:r w:rsidRPr="00CE791F">
        <w:rPr>
          <w:rFonts w:cstheme="minorHAnsi"/>
          <w:color w:val="215868" w:themeColor="accent5" w:themeShade="80"/>
          <w:sz w:val="28"/>
          <w:szCs w:val="28"/>
          <w:lang w:val="es-ES"/>
        </w:rPr>
        <w:t>Con respecto a la meta “Complementar en 100.000 hectáreas la información geográfica de sensores remotos disponible en la Infraestructura de Datos Espaciales de Bogotá</w:t>
      </w:r>
      <w:r>
        <w:rPr>
          <w:rFonts w:cstheme="minorHAnsi"/>
          <w:color w:val="215868" w:themeColor="accent5" w:themeShade="80"/>
          <w:sz w:val="28"/>
          <w:szCs w:val="28"/>
          <w:lang w:val="es-ES"/>
        </w:rPr>
        <w:t>”</w:t>
      </w:r>
      <w:r w:rsidR="00B53F3A">
        <w:rPr>
          <w:rFonts w:cstheme="minorHAnsi"/>
          <w:color w:val="215868" w:themeColor="accent5" w:themeShade="80"/>
          <w:sz w:val="28"/>
          <w:szCs w:val="28"/>
          <w:lang w:val="es-ES"/>
        </w:rPr>
        <w:t xml:space="preserve">, </w:t>
      </w:r>
      <w:r w:rsidR="00B53F3A" w:rsidRPr="00CE791F">
        <w:rPr>
          <w:rFonts w:cstheme="minorHAnsi"/>
          <w:color w:val="215868" w:themeColor="accent5" w:themeShade="80"/>
          <w:sz w:val="28"/>
          <w:szCs w:val="28"/>
          <w:lang w:val="es-ES"/>
        </w:rPr>
        <w:t xml:space="preserve">se recibió, validó y publicó </w:t>
      </w:r>
      <w:proofErr w:type="spellStart"/>
      <w:r w:rsidR="00B53F3A" w:rsidRPr="00CE791F">
        <w:rPr>
          <w:rFonts w:cstheme="minorHAnsi"/>
          <w:color w:val="215868" w:themeColor="accent5" w:themeShade="80"/>
          <w:sz w:val="28"/>
          <w:szCs w:val="28"/>
          <w:lang w:val="es-ES"/>
        </w:rPr>
        <w:t>ortofotomosaico</w:t>
      </w:r>
      <w:proofErr w:type="spellEnd"/>
      <w:r w:rsidR="00B53F3A" w:rsidRPr="00CE791F">
        <w:rPr>
          <w:rFonts w:cstheme="minorHAnsi"/>
          <w:color w:val="215868" w:themeColor="accent5" w:themeShade="80"/>
          <w:sz w:val="28"/>
          <w:szCs w:val="28"/>
          <w:lang w:val="es-ES"/>
        </w:rPr>
        <w:t xml:space="preserve"> del área urbana de Bogotá con resolución de 25cm (https://ideca.gov.co/recursos/mapas/ortoimagen-bogota-dc-2017), como resultado del convenio suscrito con la Fuerza </w:t>
      </w:r>
      <w:proofErr w:type="spellStart"/>
      <w:r w:rsidR="00B53F3A" w:rsidRPr="00CE791F">
        <w:rPr>
          <w:rFonts w:cstheme="minorHAnsi"/>
          <w:color w:val="215868" w:themeColor="accent5" w:themeShade="80"/>
          <w:sz w:val="28"/>
          <w:szCs w:val="28"/>
          <w:lang w:val="es-ES"/>
        </w:rPr>
        <w:t>Aerea</w:t>
      </w:r>
      <w:proofErr w:type="spellEnd"/>
      <w:r w:rsidR="00B53F3A" w:rsidRPr="00CE791F">
        <w:rPr>
          <w:rFonts w:cstheme="minorHAnsi"/>
          <w:color w:val="215868" w:themeColor="accent5" w:themeShade="80"/>
          <w:sz w:val="28"/>
          <w:szCs w:val="28"/>
          <w:lang w:val="es-ES"/>
        </w:rPr>
        <w:t xml:space="preserve"> Colombiana FAC, que representan 70.000 ha. A partir de lo manifestado por la FAC mediante oficio 201910420015731 del 04 de septiembre de 2019 en cuanto a las restricciones de volar a la altura requerida por el convenio, el 29 de noviembre se formalizó la terminación anticipada del convenio 361 de 2018 con la Fuerza Aérea Colombiana, el cual se encuentra en proceso de liquidación.</w:t>
      </w:r>
    </w:p>
    <w:p w:rsidR="00B53F3A" w:rsidRDefault="00B53F3A" w:rsidP="00E07CF6">
      <w:pPr>
        <w:spacing w:after="0" w:line="240" w:lineRule="auto"/>
        <w:jc w:val="both"/>
        <w:rPr>
          <w:rFonts w:cstheme="minorHAnsi"/>
          <w:color w:val="215868" w:themeColor="accent5" w:themeShade="80"/>
          <w:sz w:val="28"/>
          <w:szCs w:val="28"/>
          <w:lang w:val="es-ES"/>
        </w:rPr>
      </w:pPr>
    </w:p>
    <w:p w:rsidR="00CE791F" w:rsidRPr="00CE791F" w:rsidRDefault="00B53F3A" w:rsidP="00E07CF6">
      <w:pPr>
        <w:spacing w:after="0" w:line="240" w:lineRule="auto"/>
        <w:jc w:val="both"/>
        <w:rPr>
          <w:rFonts w:cstheme="minorHAnsi"/>
          <w:color w:val="215868" w:themeColor="accent5" w:themeShade="80"/>
          <w:sz w:val="28"/>
          <w:szCs w:val="28"/>
          <w:lang w:val="es-ES"/>
        </w:rPr>
      </w:pPr>
      <w:r>
        <w:rPr>
          <w:rFonts w:cstheme="minorHAnsi"/>
          <w:color w:val="215868" w:themeColor="accent5" w:themeShade="80"/>
          <w:sz w:val="28"/>
          <w:szCs w:val="28"/>
          <w:lang w:val="es-ES"/>
        </w:rPr>
        <w:t xml:space="preserve">Para culminar el logro de la meta se tienen avances respecto </w:t>
      </w:r>
      <w:r w:rsidR="00CE791F" w:rsidRPr="00CE791F">
        <w:rPr>
          <w:rFonts w:cstheme="minorHAnsi"/>
          <w:color w:val="215868" w:themeColor="accent5" w:themeShade="80"/>
          <w:sz w:val="28"/>
          <w:szCs w:val="28"/>
          <w:lang w:val="es-ES"/>
        </w:rPr>
        <w:t>a los productos contratados mediante el Contrato 235 de 2018, se logró la aprobación de 128.336 ha correspondientes a dos de estos (fotografías aéreas y datos li</w:t>
      </w:r>
      <w:r>
        <w:rPr>
          <w:rFonts w:cstheme="minorHAnsi"/>
          <w:color w:val="215868" w:themeColor="accent5" w:themeShade="80"/>
          <w:sz w:val="28"/>
          <w:szCs w:val="28"/>
          <w:lang w:val="es-ES"/>
        </w:rPr>
        <w:t>DAR</w:t>
      </w:r>
      <w:r w:rsidR="00CE791F" w:rsidRPr="00CE791F">
        <w:rPr>
          <w:rFonts w:cstheme="minorHAnsi"/>
          <w:color w:val="215868" w:themeColor="accent5" w:themeShade="80"/>
          <w:sz w:val="28"/>
          <w:szCs w:val="28"/>
          <w:lang w:val="es-ES"/>
        </w:rPr>
        <w:t xml:space="preserve">), así como el avance del 90,3% de los puntos de </w:t>
      </w:r>
      <w:proofErr w:type="spellStart"/>
      <w:r w:rsidR="00CE791F" w:rsidRPr="00CE791F">
        <w:rPr>
          <w:rFonts w:cstheme="minorHAnsi"/>
          <w:color w:val="215868" w:themeColor="accent5" w:themeShade="80"/>
          <w:sz w:val="28"/>
          <w:szCs w:val="28"/>
          <w:lang w:val="es-ES"/>
        </w:rPr>
        <w:t>fotocontrol</w:t>
      </w:r>
      <w:proofErr w:type="spellEnd"/>
      <w:r w:rsidR="00CE791F" w:rsidRPr="00CE791F">
        <w:rPr>
          <w:rFonts w:cstheme="minorHAnsi"/>
          <w:color w:val="215868" w:themeColor="accent5" w:themeShade="80"/>
          <w:sz w:val="28"/>
          <w:szCs w:val="28"/>
          <w:lang w:val="es-ES"/>
        </w:rPr>
        <w:t xml:space="preserve"> para iniciar proceso de ortorrectificación. Así mismo, se avanzó en la toma de aproximadamente 32.000 ha del área urbana de Soacha y bloque occidental del proyecto, información que al final de la vigencia </w:t>
      </w:r>
      <w:r>
        <w:rPr>
          <w:rFonts w:cstheme="minorHAnsi"/>
          <w:color w:val="215868" w:themeColor="accent5" w:themeShade="80"/>
          <w:sz w:val="28"/>
          <w:szCs w:val="28"/>
          <w:lang w:val="es-ES"/>
        </w:rPr>
        <w:t xml:space="preserve">2019 </w:t>
      </w:r>
      <w:r w:rsidR="00CE791F" w:rsidRPr="00CE791F">
        <w:rPr>
          <w:rFonts w:cstheme="minorHAnsi"/>
          <w:color w:val="215868" w:themeColor="accent5" w:themeShade="80"/>
          <w:sz w:val="28"/>
          <w:szCs w:val="28"/>
          <w:lang w:val="es-ES"/>
        </w:rPr>
        <w:t>no fue entregada a la supervisión para su revisión.</w:t>
      </w:r>
    </w:p>
    <w:p w:rsidR="00E03970" w:rsidRDefault="00E03970">
      <w:pPr>
        <w:rPr>
          <w:rFonts w:cstheme="minorHAnsi"/>
          <w:b/>
          <w:color w:val="215868" w:themeColor="accent5" w:themeShade="80"/>
          <w:sz w:val="28"/>
          <w:szCs w:val="28"/>
          <w:lang w:val="es-ES"/>
        </w:rPr>
      </w:pPr>
      <w:r>
        <w:rPr>
          <w:rFonts w:cstheme="minorHAnsi"/>
          <w:b/>
          <w:color w:val="215868" w:themeColor="accent5" w:themeShade="80"/>
          <w:sz w:val="28"/>
          <w:szCs w:val="28"/>
          <w:lang w:val="es-ES"/>
        </w:rPr>
        <w:br w:type="page"/>
      </w:r>
    </w:p>
    <w:p w:rsidR="00AA6318" w:rsidRPr="00AA6318" w:rsidRDefault="00AA6318" w:rsidP="00AA6318">
      <w:pPr>
        <w:pStyle w:val="Prrafodelista"/>
        <w:spacing w:after="0"/>
        <w:ind w:left="-567"/>
        <w:rPr>
          <w:rFonts w:cstheme="minorHAnsi"/>
          <w:b/>
          <w:color w:val="215868" w:themeColor="accent5" w:themeShade="80"/>
          <w:sz w:val="28"/>
          <w:szCs w:val="28"/>
          <w:lang w:val="es-ES"/>
        </w:rPr>
      </w:pPr>
    </w:p>
    <w:p w:rsidR="00B53F3A" w:rsidRPr="00AA6318" w:rsidRDefault="00B53F3A" w:rsidP="009E2852">
      <w:pPr>
        <w:pStyle w:val="Prrafodelista"/>
        <w:numPr>
          <w:ilvl w:val="0"/>
          <w:numId w:val="15"/>
        </w:numPr>
        <w:spacing w:after="0"/>
        <w:ind w:left="284"/>
        <w:rPr>
          <w:rFonts w:cstheme="minorHAnsi"/>
          <w:b/>
          <w:color w:val="215868" w:themeColor="accent5" w:themeShade="80"/>
          <w:sz w:val="28"/>
          <w:szCs w:val="28"/>
          <w:lang w:val="es-ES"/>
        </w:rPr>
      </w:pPr>
      <w:r>
        <w:rPr>
          <w:rFonts w:cstheme="minorHAnsi"/>
          <w:b/>
          <w:color w:val="215868" w:themeColor="accent5" w:themeShade="80"/>
          <w:sz w:val="28"/>
          <w:szCs w:val="28"/>
          <w:lang w:val="es-ES"/>
        </w:rPr>
        <w:t>Incrementar los usuarios de la información</w:t>
      </w:r>
      <w:r w:rsidRPr="00982076">
        <w:rPr>
          <w:rFonts w:cstheme="minorHAnsi"/>
          <w:b/>
          <w:color w:val="215868" w:themeColor="accent5" w:themeShade="80"/>
          <w:sz w:val="28"/>
          <w:szCs w:val="28"/>
          <w:lang w:val="es-ES"/>
        </w:rPr>
        <w:t xml:space="preserve"> geográfica </w:t>
      </w:r>
      <w:r>
        <w:rPr>
          <w:rFonts w:cstheme="minorHAnsi"/>
          <w:b/>
          <w:color w:val="215868" w:themeColor="accent5" w:themeShade="80"/>
          <w:sz w:val="28"/>
          <w:szCs w:val="28"/>
          <w:lang w:val="es-ES"/>
        </w:rPr>
        <w:t>dispuesta</w:t>
      </w:r>
    </w:p>
    <w:p w:rsidR="00AA6318" w:rsidRDefault="00AA6318" w:rsidP="00AA6318">
      <w:pPr>
        <w:spacing w:after="0"/>
        <w:ind w:left="-567"/>
        <w:rPr>
          <w:rFonts w:cstheme="minorHAnsi"/>
          <w:color w:val="215868" w:themeColor="accent5" w:themeShade="80"/>
          <w:sz w:val="28"/>
          <w:szCs w:val="28"/>
          <w:lang w:val="es-ES"/>
        </w:rPr>
      </w:pPr>
    </w:p>
    <w:p w:rsidR="00B53F3A" w:rsidRDefault="00B53F3A" w:rsidP="00E07CF6">
      <w:pPr>
        <w:spacing w:after="0"/>
        <w:jc w:val="both"/>
        <w:rPr>
          <w:rFonts w:cstheme="minorHAnsi"/>
          <w:color w:val="215868" w:themeColor="accent5" w:themeShade="80"/>
          <w:sz w:val="28"/>
          <w:szCs w:val="28"/>
          <w:lang w:val="es-ES"/>
        </w:rPr>
      </w:pPr>
      <w:r>
        <w:rPr>
          <w:rFonts w:cstheme="minorHAnsi"/>
          <w:color w:val="215868" w:themeColor="accent5" w:themeShade="80"/>
          <w:sz w:val="28"/>
          <w:szCs w:val="28"/>
          <w:lang w:val="es-ES"/>
        </w:rPr>
        <w:t>Con respecto a la meta “</w:t>
      </w:r>
      <w:r w:rsidRPr="00B53F3A">
        <w:rPr>
          <w:rFonts w:cstheme="minorHAnsi"/>
          <w:color w:val="215868" w:themeColor="accent5" w:themeShade="80"/>
          <w:sz w:val="28"/>
          <w:szCs w:val="28"/>
          <w:lang w:val="es-ES"/>
        </w:rPr>
        <w:t>Incrementar en 25</w:t>
      </w:r>
      <w:r>
        <w:rPr>
          <w:rFonts w:cstheme="minorHAnsi"/>
          <w:color w:val="215868" w:themeColor="accent5" w:themeShade="80"/>
          <w:sz w:val="28"/>
          <w:szCs w:val="28"/>
          <w:lang w:val="es-ES"/>
        </w:rPr>
        <w:t>.</w:t>
      </w:r>
      <w:r w:rsidRPr="00B53F3A">
        <w:rPr>
          <w:rFonts w:cstheme="minorHAnsi"/>
          <w:color w:val="215868" w:themeColor="accent5" w:themeShade="80"/>
          <w:sz w:val="28"/>
          <w:szCs w:val="28"/>
          <w:lang w:val="es-ES"/>
        </w:rPr>
        <w:t>000 el número de usuarios del Portal de Mapas de Bogotá, con respecto a la vigencia anterior</w:t>
      </w:r>
      <w:r>
        <w:rPr>
          <w:rFonts w:cstheme="minorHAnsi"/>
          <w:color w:val="215868" w:themeColor="accent5" w:themeShade="80"/>
          <w:sz w:val="28"/>
          <w:szCs w:val="28"/>
          <w:lang w:val="es-ES"/>
        </w:rPr>
        <w:t xml:space="preserve">”, la Unidad emprendió varias acciones para robustecer la plataforma tecnológica, aumentar la difusión de los servicios y aplicaciones disponibles, así como mejorar la experiencia de acceso, consulta y funcionalidad, entre otros, de la plataforma de IDECA. </w:t>
      </w:r>
      <w:r w:rsidRPr="00B53F3A">
        <w:rPr>
          <w:rFonts w:cstheme="minorHAnsi"/>
          <w:color w:val="215868" w:themeColor="accent5" w:themeShade="80"/>
          <w:sz w:val="28"/>
          <w:szCs w:val="28"/>
          <w:lang w:val="es-ES"/>
        </w:rPr>
        <w:t xml:space="preserve">Como </w:t>
      </w:r>
      <w:r>
        <w:rPr>
          <w:rFonts w:cstheme="minorHAnsi"/>
          <w:color w:val="215868" w:themeColor="accent5" w:themeShade="80"/>
          <w:sz w:val="28"/>
          <w:szCs w:val="28"/>
          <w:lang w:val="es-ES"/>
        </w:rPr>
        <w:t>resultado de esta estrategia</w:t>
      </w:r>
      <w:r w:rsidRPr="00B53F3A">
        <w:rPr>
          <w:rFonts w:cstheme="minorHAnsi"/>
          <w:color w:val="215868" w:themeColor="accent5" w:themeShade="80"/>
          <w:sz w:val="28"/>
          <w:szCs w:val="28"/>
          <w:lang w:val="es-ES"/>
        </w:rPr>
        <w:t>, se logró un total de 1.195.347 usuarios, lo que corresponde a un 150,33% de la meta establecida 795.123 usuarios</w:t>
      </w:r>
      <w:r>
        <w:rPr>
          <w:rFonts w:cstheme="minorHAnsi"/>
          <w:color w:val="215868" w:themeColor="accent5" w:themeShade="80"/>
          <w:sz w:val="28"/>
          <w:szCs w:val="28"/>
          <w:lang w:val="es-ES"/>
        </w:rPr>
        <w:t xml:space="preserve">. </w:t>
      </w:r>
      <w:r w:rsidRPr="00B53F3A">
        <w:rPr>
          <w:rFonts w:cstheme="minorHAnsi"/>
          <w:color w:val="215868" w:themeColor="accent5" w:themeShade="80"/>
          <w:sz w:val="28"/>
          <w:szCs w:val="28"/>
          <w:lang w:val="es-ES"/>
        </w:rPr>
        <w:t xml:space="preserve">(Línea base: 770.123 </w:t>
      </w:r>
      <w:r>
        <w:rPr>
          <w:rFonts w:cstheme="minorHAnsi"/>
          <w:color w:val="215868" w:themeColor="accent5" w:themeShade="80"/>
          <w:sz w:val="28"/>
          <w:szCs w:val="28"/>
          <w:lang w:val="es-ES"/>
        </w:rPr>
        <w:t xml:space="preserve">usuarios de la vigencia 2018 </w:t>
      </w:r>
      <w:r w:rsidRPr="00B53F3A">
        <w:rPr>
          <w:rFonts w:cstheme="minorHAnsi"/>
          <w:color w:val="215868" w:themeColor="accent5" w:themeShade="80"/>
          <w:sz w:val="28"/>
          <w:szCs w:val="28"/>
          <w:lang w:val="es-ES"/>
        </w:rPr>
        <w:t>sobre la que se programaron 25.000 usuarios adicionales).</w:t>
      </w:r>
    </w:p>
    <w:p w:rsidR="00B53F3A" w:rsidRDefault="00B53F3A" w:rsidP="00E07CF6">
      <w:pPr>
        <w:spacing w:after="0"/>
        <w:jc w:val="both"/>
        <w:rPr>
          <w:rFonts w:cstheme="minorHAnsi"/>
          <w:color w:val="215868" w:themeColor="accent5" w:themeShade="80"/>
          <w:sz w:val="28"/>
          <w:szCs w:val="28"/>
          <w:lang w:val="es-ES"/>
        </w:rPr>
      </w:pPr>
    </w:p>
    <w:p w:rsidR="00B53F3A" w:rsidRPr="00B53F3A" w:rsidRDefault="00B53F3A" w:rsidP="00E07CF6">
      <w:pPr>
        <w:spacing w:after="0"/>
        <w:jc w:val="both"/>
        <w:rPr>
          <w:rFonts w:cstheme="minorHAnsi"/>
          <w:color w:val="215868" w:themeColor="accent5" w:themeShade="80"/>
          <w:sz w:val="28"/>
          <w:szCs w:val="28"/>
          <w:lang w:val="es-ES"/>
        </w:rPr>
      </w:pPr>
      <w:r w:rsidRPr="00B53F3A">
        <w:rPr>
          <w:rFonts w:cstheme="minorHAnsi"/>
          <w:color w:val="215868" w:themeColor="accent5" w:themeShade="80"/>
          <w:sz w:val="28"/>
          <w:szCs w:val="28"/>
          <w:lang w:val="es-ES"/>
        </w:rPr>
        <w:t xml:space="preserve">Dentro de los 10 datos geográficos más consultados en Mapas Bogotá, para lo que va corrido del año 2019, se resaltan la Red CADE, </w:t>
      </w:r>
      <w:proofErr w:type="spellStart"/>
      <w:r w:rsidRPr="00B53F3A">
        <w:rPr>
          <w:rFonts w:cstheme="minorHAnsi"/>
          <w:color w:val="215868" w:themeColor="accent5" w:themeShade="80"/>
          <w:sz w:val="28"/>
          <w:szCs w:val="28"/>
          <w:lang w:val="es-ES"/>
        </w:rPr>
        <w:t>RedCADE</w:t>
      </w:r>
      <w:proofErr w:type="spellEnd"/>
      <w:r w:rsidRPr="00B53F3A">
        <w:rPr>
          <w:rFonts w:cstheme="minorHAnsi"/>
          <w:color w:val="215868" w:themeColor="accent5" w:themeShade="80"/>
          <w:sz w:val="28"/>
          <w:szCs w:val="28"/>
          <w:lang w:val="es-ES"/>
        </w:rPr>
        <w:t xml:space="preserve">, </w:t>
      </w:r>
      <w:proofErr w:type="spellStart"/>
      <w:r w:rsidRPr="00B53F3A">
        <w:rPr>
          <w:rFonts w:cstheme="minorHAnsi"/>
          <w:color w:val="215868" w:themeColor="accent5" w:themeShade="80"/>
          <w:sz w:val="28"/>
          <w:szCs w:val="28"/>
          <w:lang w:val="es-ES"/>
        </w:rPr>
        <w:t>Cicloparqueaderos</w:t>
      </w:r>
      <w:proofErr w:type="spellEnd"/>
      <w:r w:rsidRPr="00B53F3A">
        <w:rPr>
          <w:rFonts w:cstheme="minorHAnsi"/>
          <w:color w:val="215868" w:themeColor="accent5" w:themeShade="80"/>
          <w:sz w:val="28"/>
          <w:szCs w:val="28"/>
          <w:lang w:val="es-ES"/>
        </w:rPr>
        <w:t xml:space="preserve"> Certificados, Direcciones Locales de Educación, Lote, Colegios, Placa Domiciliaria, Parques, Construcción, Puestos de Votación y Barrio Común (ver gráfico). Cabe mencionar que desde principios del año 2018 es posible monitorear cuáles son los datos más consultados por nuestros usuarios en Mapas Bogotá.</w:t>
      </w:r>
    </w:p>
    <w:p w:rsidR="00B53F3A" w:rsidRPr="000110B5" w:rsidRDefault="00B53F3A" w:rsidP="00B53F3A">
      <w:pPr>
        <w:spacing w:after="0" w:line="240" w:lineRule="auto"/>
        <w:ind w:left="1167" w:right="-144"/>
        <w:jc w:val="both"/>
        <w:rPr>
          <w:rFonts w:asciiTheme="majorHAnsi" w:eastAsia="Calibri" w:hAnsiTheme="majorHAnsi" w:cs="Cambria"/>
        </w:rPr>
      </w:pPr>
    </w:p>
    <w:p w:rsidR="00B53F3A" w:rsidRPr="000110B5" w:rsidRDefault="00B53F3A" w:rsidP="00B53F3A">
      <w:pPr>
        <w:spacing w:after="0" w:line="240" w:lineRule="auto"/>
        <w:ind w:right="-144"/>
        <w:rPr>
          <w:rFonts w:asciiTheme="majorHAnsi" w:eastAsia="Calibri" w:hAnsiTheme="majorHAnsi" w:cs="Cambria"/>
        </w:rPr>
      </w:pPr>
      <w:r w:rsidRPr="000110B5">
        <w:rPr>
          <w:rFonts w:asciiTheme="majorHAnsi" w:hAnsiTheme="majorHAnsi"/>
          <w:noProof/>
          <w:lang w:val="es-ES" w:eastAsia="es-ES"/>
        </w:rPr>
        <w:drawing>
          <wp:inline distT="0" distB="0" distL="0" distR="0" wp14:anchorId="4546C180" wp14:editId="467A27D0">
            <wp:extent cx="5939625" cy="2452370"/>
            <wp:effectExtent l="0" t="0" r="4445" b="5080"/>
            <wp:docPr id="330900582" name="Gráfico 330900582">
              <a:extLst xmlns:a="http://schemas.openxmlformats.org/drawingml/2006/main">
                <a:ext uri="{FF2B5EF4-FFF2-40B4-BE49-F238E27FC236}">
                  <a16:creationId xmlns:a16="http://schemas.microsoft.com/office/drawing/2014/main" id="{7F691C4D-CFAD-43F8-8660-AC16337AA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3F3A" w:rsidRPr="00E03970" w:rsidRDefault="00B53F3A" w:rsidP="00B53F3A">
      <w:pPr>
        <w:tabs>
          <w:tab w:val="left" w:pos="9779"/>
        </w:tabs>
        <w:spacing w:after="0" w:line="240" w:lineRule="auto"/>
        <w:ind w:right="-2"/>
        <w:jc w:val="center"/>
        <w:rPr>
          <w:rFonts w:cstheme="minorHAnsi"/>
          <w:i/>
          <w:color w:val="215868" w:themeColor="accent5" w:themeShade="80"/>
          <w:sz w:val="18"/>
          <w:szCs w:val="18"/>
          <w:lang w:val="es-ES"/>
        </w:rPr>
      </w:pPr>
      <w:bookmarkStart w:id="11" w:name="_Hlk27550984"/>
      <w:r w:rsidRPr="00E03970">
        <w:rPr>
          <w:rFonts w:cstheme="minorHAnsi"/>
          <w:i/>
          <w:color w:val="215868" w:themeColor="accent5" w:themeShade="80"/>
          <w:sz w:val="18"/>
          <w:szCs w:val="18"/>
          <w:lang w:val="es-ES"/>
        </w:rPr>
        <w:t>Gráfico. Número de acceso a los datos geográficos más consultados en Mapas Bogotá</w:t>
      </w:r>
    </w:p>
    <w:p w:rsidR="00B53F3A" w:rsidRPr="00E03970" w:rsidRDefault="00B53F3A" w:rsidP="00B53F3A">
      <w:pPr>
        <w:spacing w:after="0" w:line="240" w:lineRule="auto"/>
        <w:jc w:val="center"/>
        <w:rPr>
          <w:rFonts w:cstheme="minorHAnsi"/>
          <w:i/>
          <w:color w:val="215868" w:themeColor="accent5" w:themeShade="80"/>
          <w:sz w:val="18"/>
          <w:szCs w:val="18"/>
          <w:lang w:val="es-ES"/>
        </w:rPr>
      </w:pPr>
      <w:r w:rsidRPr="00E03970">
        <w:rPr>
          <w:rFonts w:cstheme="minorHAnsi"/>
          <w:i/>
          <w:color w:val="215868" w:themeColor="accent5" w:themeShade="80"/>
          <w:sz w:val="18"/>
          <w:szCs w:val="18"/>
          <w:lang w:val="es-ES"/>
        </w:rPr>
        <w:t xml:space="preserve">Fuente: Google </w:t>
      </w:r>
      <w:proofErr w:type="spellStart"/>
      <w:r w:rsidRPr="00E03970">
        <w:rPr>
          <w:rFonts w:cstheme="minorHAnsi"/>
          <w:i/>
          <w:color w:val="215868" w:themeColor="accent5" w:themeShade="80"/>
          <w:sz w:val="18"/>
          <w:szCs w:val="18"/>
          <w:lang w:val="es-ES"/>
        </w:rPr>
        <w:t>Analytics</w:t>
      </w:r>
      <w:bookmarkEnd w:id="11"/>
      <w:proofErr w:type="spellEnd"/>
    </w:p>
    <w:p w:rsidR="00E03970" w:rsidRDefault="00E03970" w:rsidP="00E07CF6">
      <w:pPr>
        <w:spacing w:after="0" w:line="240" w:lineRule="auto"/>
        <w:ind w:right="-2"/>
        <w:jc w:val="both"/>
        <w:rPr>
          <w:rFonts w:cstheme="minorHAnsi"/>
          <w:color w:val="215868" w:themeColor="accent5" w:themeShade="80"/>
          <w:sz w:val="28"/>
          <w:szCs w:val="28"/>
          <w:lang w:val="es-ES"/>
        </w:rPr>
      </w:pPr>
    </w:p>
    <w:p w:rsidR="00B53F3A" w:rsidRDefault="00B53F3A" w:rsidP="00E07CF6">
      <w:pPr>
        <w:spacing w:after="0" w:line="240" w:lineRule="auto"/>
        <w:ind w:right="-2"/>
        <w:jc w:val="both"/>
        <w:rPr>
          <w:rFonts w:cstheme="minorHAnsi"/>
          <w:color w:val="215868" w:themeColor="accent5" w:themeShade="80"/>
          <w:sz w:val="28"/>
          <w:szCs w:val="28"/>
          <w:lang w:val="es-ES"/>
        </w:rPr>
      </w:pPr>
      <w:r w:rsidRPr="00B53F3A">
        <w:rPr>
          <w:rFonts w:cstheme="minorHAnsi"/>
          <w:color w:val="215868" w:themeColor="accent5" w:themeShade="80"/>
          <w:sz w:val="28"/>
          <w:szCs w:val="28"/>
          <w:lang w:val="es-ES"/>
        </w:rPr>
        <w:t xml:space="preserve">Conforme a lo anterior, y resaltando el gran volumen de usuarios y acceso a los datos oficiales que se están presentando en Mapas Bogotá, así como las intermitencias que se estaban presentando en la disponibilidad de los servicios web geográficos dispuestos a través del Servidor de Mapas de la UAECD, durante el 2019 se desplegó una nueva arquitectura de alta disponibilidad y seguridad, que de acuerdo a pruebas iniciales de carga y estrés, soporta 150 usuarios concurrentes con máximo 50.000 peticiones. </w:t>
      </w:r>
    </w:p>
    <w:p w:rsidR="00B53F3A" w:rsidRDefault="00B53F3A" w:rsidP="00E07CF6">
      <w:pPr>
        <w:spacing w:after="0" w:line="240" w:lineRule="auto"/>
        <w:ind w:right="-2"/>
        <w:jc w:val="both"/>
        <w:rPr>
          <w:rFonts w:cstheme="minorHAnsi"/>
          <w:color w:val="215868" w:themeColor="accent5" w:themeShade="80"/>
          <w:sz w:val="28"/>
          <w:szCs w:val="28"/>
          <w:lang w:val="es-ES"/>
        </w:rPr>
      </w:pPr>
    </w:p>
    <w:p w:rsidR="00B53F3A" w:rsidRDefault="00B53F3A" w:rsidP="00E07CF6">
      <w:pPr>
        <w:spacing w:after="0" w:line="240" w:lineRule="auto"/>
        <w:ind w:right="-2"/>
        <w:jc w:val="both"/>
        <w:rPr>
          <w:rFonts w:cstheme="minorHAnsi"/>
          <w:color w:val="215868" w:themeColor="accent5" w:themeShade="80"/>
          <w:sz w:val="28"/>
          <w:szCs w:val="28"/>
          <w:lang w:val="es-ES"/>
        </w:rPr>
      </w:pPr>
      <w:r w:rsidRPr="00B53F3A">
        <w:rPr>
          <w:rFonts w:cstheme="minorHAnsi"/>
          <w:color w:val="215868" w:themeColor="accent5" w:themeShade="80"/>
          <w:sz w:val="28"/>
          <w:szCs w:val="28"/>
          <w:lang w:val="es-ES"/>
        </w:rPr>
        <w:t>También se cuenta con unos sistemas para el monitoreo tanto de los servicios web geográficos (ArcGIS Monitor), como de la infraestructura tecnológica (</w:t>
      </w:r>
      <w:proofErr w:type="spellStart"/>
      <w:r w:rsidRPr="00B53F3A">
        <w:rPr>
          <w:rFonts w:cstheme="minorHAnsi"/>
          <w:color w:val="215868" w:themeColor="accent5" w:themeShade="80"/>
          <w:sz w:val="28"/>
          <w:szCs w:val="28"/>
          <w:lang w:val="es-ES"/>
        </w:rPr>
        <w:t>FortiSIEM</w:t>
      </w:r>
      <w:proofErr w:type="spellEnd"/>
      <w:r w:rsidRPr="00B53F3A">
        <w:rPr>
          <w:rFonts w:cstheme="minorHAnsi"/>
          <w:color w:val="215868" w:themeColor="accent5" w:themeShade="80"/>
          <w:sz w:val="28"/>
          <w:szCs w:val="28"/>
          <w:lang w:val="es-ES"/>
        </w:rPr>
        <w:t xml:space="preserve">). Así mismo, a nivel de aplicación se monitorea errores, accesos y usos a través de Google </w:t>
      </w:r>
      <w:proofErr w:type="spellStart"/>
      <w:r w:rsidRPr="00B53F3A">
        <w:rPr>
          <w:rFonts w:cstheme="minorHAnsi"/>
          <w:color w:val="215868" w:themeColor="accent5" w:themeShade="80"/>
          <w:sz w:val="28"/>
          <w:szCs w:val="28"/>
          <w:lang w:val="es-ES"/>
        </w:rPr>
        <w:t>Analytics</w:t>
      </w:r>
      <w:proofErr w:type="spellEnd"/>
      <w:r w:rsidRPr="00B53F3A">
        <w:rPr>
          <w:rFonts w:cstheme="minorHAnsi"/>
          <w:color w:val="215868" w:themeColor="accent5" w:themeShade="80"/>
          <w:sz w:val="28"/>
          <w:szCs w:val="28"/>
          <w:lang w:val="es-ES"/>
        </w:rPr>
        <w:t>.</w:t>
      </w:r>
    </w:p>
    <w:p w:rsidR="00B53F3A" w:rsidRDefault="00B53F3A" w:rsidP="00B53F3A">
      <w:pPr>
        <w:spacing w:after="0" w:line="240" w:lineRule="auto"/>
        <w:ind w:left="-567" w:right="-2"/>
        <w:jc w:val="both"/>
        <w:rPr>
          <w:rFonts w:cstheme="minorHAnsi"/>
          <w:color w:val="215868" w:themeColor="accent5" w:themeShade="80"/>
          <w:sz w:val="28"/>
          <w:szCs w:val="28"/>
          <w:lang w:val="es-ES"/>
        </w:rPr>
      </w:pPr>
    </w:p>
    <w:p w:rsidR="000814BD" w:rsidRPr="003B547C" w:rsidRDefault="000814BD" w:rsidP="009E2852">
      <w:pPr>
        <w:pStyle w:val="Prrafodelista"/>
        <w:numPr>
          <w:ilvl w:val="2"/>
          <w:numId w:val="4"/>
        </w:numPr>
        <w:spacing w:after="0"/>
        <w:ind w:left="851" w:hanging="851"/>
        <w:jc w:val="both"/>
        <w:rPr>
          <w:rFonts w:cstheme="minorHAnsi"/>
          <w:b/>
          <w:color w:val="215868" w:themeColor="accent5" w:themeShade="80"/>
          <w:sz w:val="28"/>
          <w:szCs w:val="28"/>
        </w:rPr>
      </w:pPr>
      <w:r w:rsidRPr="003B547C">
        <w:rPr>
          <w:rFonts w:cstheme="minorHAnsi"/>
          <w:b/>
          <w:color w:val="215868" w:themeColor="accent5" w:themeShade="80"/>
          <w:sz w:val="28"/>
          <w:szCs w:val="28"/>
        </w:rPr>
        <w:t>Fortalecimiento tecnológico</w:t>
      </w:r>
    </w:p>
    <w:p w:rsidR="009A78B9" w:rsidRPr="00272A71" w:rsidRDefault="009A78B9" w:rsidP="00D4006F">
      <w:pPr>
        <w:pStyle w:val="Prrafodelista"/>
        <w:spacing w:after="0"/>
        <w:ind w:left="-567"/>
        <w:jc w:val="both"/>
        <w:rPr>
          <w:rFonts w:cstheme="minorHAnsi"/>
          <w:color w:val="215868" w:themeColor="accent5" w:themeShade="80"/>
          <w:sz w:val="28"/>
          <w:szCs w:val="28"/>
        </w:rPr>
      </w:pPr>
    </w:p>
    <w:p w:rsidR="000814BD" w:rsidRPr="00272A71" w:rsidRDefault="00182D5B" w:rsidP="00E07CF6">
      <w:pPr>
        <w:pStyle w:val="Prrafodelista"/>
        <w:spacing w:after="0"/>
        <w:ind w:left="0"/>
        <w:jc w:val="both"/>
        <w:rPr>
          <w:rFonts w:cstheme="minorHAnsi"/>
          <w:color w:val="215868" w:themeColor="accent5" w:themeShade="80"/>
          <w:sz w:val="28"/>
          <w:szCs w:val="28"/>
        </w:rPr>
      </w:pPr>
      <w:r w:rsidRPr="00272A71">
        <w:rPr>
          <w:rFonts w:cstheme="minorHAnsi"/>
          <w:color w:val="215868" w:themeColor="accent5" w:themeShade="80"/>
          <w:sz w:val="28"/>
          <w:szCs w:val="28"/>
        </w:rPr>
        <w:t>Para la entidad, es indispensable contar con un componente tecnológico robusto que</w:t>
      </w:r>
      <w:r w:rsidR="000814BD" w:rsidRPr="00272A71">
        <w:rPr>
          <w:rFonts w:cstheme="minorHAnsi"/>
          <w:color w:val="215868" w:themeColor="accent5" w:themeShade="80"/>
          <w:sz w:val="28"/>
          <w:szCs w:val="28"/>
        </w:rPr>
        <w:t xml:space="preserve"> soport</w:t>
      </w:r>
      <w:r w:rsidRPr="00272A71">
        <w:rPr>
          <w:rFonts w:cstheme="minorHAnsi"/>
          <w:color w:val="215868" w:themeColor="accent5" w:themeShade="80"/>
          <w:sz w:val="28"/>
          <w:szCs w:val="28"/>
        </w:rPr>
        <w:t>e</w:t>
      </w:r>
      <w:r w:rsidR="000814BD" w:rsidRPr="00272A71">
        <w:rPr>
          <w:rFonts w:cstheme="minorHAnsi"/>
          <w:color w:val="215868" w:themeColor="accent5" w:themeShade="80"/>
          <w:sz w:val="28"/>
          <w:szCs w:val="28"/>
        </w:rPr>
        <w:t xml:space="preserve"> los procesos misionales y de apoyo</w:t>
      </w:r>
      <w:r w:rsidRPr="00272A71">
        <w:rPr>
          <w:rFonts w:cstheme="minorHAnsi"/>
          <w:color w:val="215868" w:themeColor="accent5" w:themeShade="80"/>
          <w:sz w:val="28"/>
          <w:szCs w:val="28"/>
        </w:rPr>
        <w:t>. Para su fortalecimiento, s</w:t>
      </w:r>
      <w:r w:rsidR="000814BD" w:rsidRPr="00272A71">
        <w:rPr>
          <w:rFonts w:cstheme="minorHAnsi"/>
          <w:color w:val="215868" w:themeColor="accent5" w:themeShade="80"/>
          <w:sz w:val="28"/>
          <w:szCs w:val="28"/>
        </w:rPr>
        <w:t xml:space="preserve">e </w:t>
      </w:r>
      <w:r w:rsidR="00921B64">
        <w:rPr>
          <w:rFonts w:cstheme="minorHAnsi"/>
          <w:color w:val="215868" w:themeColor="accent5" w:themeShade="80"/>
          <w:sz w:val="28"/>
          <w:szCs w:val="28"/>
        </w:rPr>
        <w:t xml:space="preserve">destacan </w:t>
      </w:r>
      <w:r w:rsidR="000814BD" w:rsidRPr="00272A71">
        <w:rPr>
          <w:rFonts w:cstheme="minorHAnsi"/>
          <w:color w:val="215868" w:themeColor="accent5" w:themeShade="80"/>
          <w:sz w:val="28"/>
          <w:szCs w:val="28"/>
        </w:rPr>
        <w:t>las siguientes actividades:</w:t>
      </w:r>
    </w:p>
    <w:p w:rsidR="001C42DF" w:rsidRDefault="001C42DF" w:rsidP="00E07CF6">
      <w:pPr>
        <w:pStyle w:val="Prrafodelista"/>
        <w:spacing w:after="0"/>
        <w:ind w:left="0"/>
        <w:jc w:val="both"/>
        <w:rPr>
          <w:rFonts w:cstheme="minorHAnsi"/>
          <w:color w:val="215868" w:themeColor="accent5" w:themeShade="80"/>
          <w:sz w:val="28"/>
          <w:szCs w:val="28"/>
        </w:rPr>
      </w:pPr>
    </w:p>
    <w:p w:rsidR="004855AC" w:rsidRPr="004855AC" w:rsidRDefault="004855AC" w:rsidP="00E07CF6">
      <w:pPr>
        <w:pStyle w:val="Prrafodelista"/>
        <w:spacing w:after="0"/>
        <w:ind w:left="0"/>
        <w:jc w:val="both"/>
        <w:rPr>
          <w:rFonts w:cstheme="minorHAnsi"/>
          <w:b/>
          <w:color w:val="215868" w:themeColor="accent5" w:themeShade="80"/>
          <w:sz w:val="28"/>
          <w:szCs w:val="28"/>
        </w:rPr>
      </w:pPr>
      <w:r w:rsidRPr="004855AC">
        <w:rPr>
          <w:rFonts w:cstheme="minorHAnsi"/>
          <w:b/>
          <w:color w:val="215868" w:themeColor="accent5" w:themeShade="80"/>
          <w:sz w:val="28"/>
          <w:szCs w:val="28"/>
        </w:rPr>
        <w:t>Fortalecimiento del hardware, software y conectividad:</w:t>
      </w:r>
    </w:p>
    <w:p w:rsidR="004855AC" w:rsidRDefault="004855AC" w:rsidP="00E07CF6">
      <w:pPr>
        <w:pStyle w:val="Prrafodelista"/>
        <w:spacing w:after="0"/>
        <w:ind w:left="0"/>
        <w:jc w:val="both"/>
        <w:rPr>
          <w:rFonts w:cstheme="minorHAnsi"/>
          <w:color w:val="215868" w:themeColor="accent5" w:themeShade="80"/>
          <w:sz w:val="28"/>
          <w:szCs w:val="28"/>
        </w:rPr>
      </w:pPr>
    </w:p>
    <w:p w:rsidR="00402074" w:rsidRPr="00402074" w:rsidRDefault="00402074" w:rsidP="009E2852">
      <w:pPr>
        <w:pStyle w:val="Prrafodelista"/>
        <w:numPr>
          <w:ilvl w:val="0"/>
          <w:numId w:val="20"/>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Ajustes para el ruteo de solicitudes al proceso de censo desde la atención al usuario con el propósito de permitir la gestión de solicitudes que se presenten durante la ejecución del censo predial.</w:t>
      </w:r>
    </w:p>
    <w:p w:rsidR="00402074" w:rsidRPr="00402074" w:rsidRDefault="00402074" w:rsidP="009E2852">
      <w:pPr>
        <w:pStyle w:val="Prrafodelista"/>
        <w:numPr>
          <w:ilvl w:val="0"/>
          <w:numId w:val="20"/>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requirió considerar el registro de las radicaciones a nivel de solicitantes por cuanto el sistema no contemplaba las novedades de solicitantes de tipo personas jurídicas que requerían información adicional.</w:t>
      </w:r>
    </w:p>
    <w:p w:rsidR="00402074" w:rsidRPr="00402074" w:rsidRDefault="00402074" w:rsidP="009E2852">
      <w:pPr>
        <w:pStyle w:val="Prrafodelista"/>
        <w:numPr>
          <w:ilvl w:val="0"/>
          <w:numId w:val="20"/>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han realizado ajustes sobre los procesos que se ejecutan durante las mutaciones de cambio de nombre, tomas de construcción, rectificaciones, revisiones de avalúo, autoavalúos, incorporaciones, englobes y </w:t>
      </w:r>
      <w:proofErr w:type="spellStart"/>
      <w:r w:rsidRPr="00402074">
        <w:rPr>
          <w:rFonts w:cstheme="minorHAnsi"/>
          <w:color w:val="215868" w:themeColor="accent5" w:themeShade="80"/>
          <w:sz w:val="28"/>
          <w:szCs w:val="28"/>
        </w:rPr>
        <w:t>desenglobes</w:t>
      </w:r>
      <w:proofErr w:type="spellEnd"/>
      <w:r w:rsidRPr="00402074">
        <w:rPr>
          <w:rFonts w:cstheme="minorHAnsi"/>
          <w:color w:val="215868" w:themeColor="accent5" w:themeShade="80"/>
          <w:sz w:val="28"/>
          <w:szCs w:val="28"/>
        </w:rPr>
        <w:t xml:space="preserve"> y sus reportes asociados para considerar nuevos elementos a mostrar en los reportes asociados.</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realizó la implementación de una nueva funcionalidad para realizar el cambio de nombre masivo a partir de una solicitud para predios en propiedades horizontales.</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realizó la implementación de la generación de archivos planos para identificar y hacer seguimiento a las radicaciones que se transfieren de una dependencia a otra.</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realizaron ajustes para la implementar pasos y actividades de la radicación que permitan identificar suspensiones de términos y condiciones.</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realizó la implementación de un conjunto de pasos de seguimiento para los avalúos comerciales, con el propósito de contar con un repositorio inicial de los avalúos comerciales que se gestionan por la entidad.</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realizaron ajustes al simulador de modelos de liquidación para las vigencias 2015 y 2016 para su aplicación en las mutaciones que afecten estos componentes de valores.</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realizó la implementación de una opción adicional para permitir la certificación masiva a partir de un listado de ciudadanos y agilizar la atención de estas peticiones.</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han requerido implementar reportes de seguimientos detallados de los profesionales que atienden radicaciones, con el propósito de validar rendimientos en la gestión de solicitudes.</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requirió ajustar el SIIC para poder adicionar el correo electrónico y la autorización de notificación electrónica posteriormente a la radicación inicial. </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realizaron ajustes a los servicios web dispuestos anteriormente, por cuanto deberían contemplar nueva información a disponer (información de ubicación, identificadores, información física y económica) para atender los convenios de intercambio de información con entidades de como CISA y VUR.</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realizaron ajustes y nuevas implementaciones de web </w:t>
      </w:r>
      <w:proofErr w:type="spellStart"/>
      <w:r w:rsidRPr="00402074">
        <w:rPr>
          <w:rFonts w:cstheme="minorHAnsi"/>
          <w:color w:val="215868" w:themeColor="accent5" w:themeShade="80"/>
          <w:sz w:val="28"/>
          <w:szCs w:val="28"/>
        </w:rPr>
        <w:t>services</w:t>
      </w:r>
      <w:proofErr w:type="spellEnd"/>
      <w:r w:rsidRPr="00402074">
        <w:rPr>
          <w:rFonts w:cstheme="minorHAnsi"/>
          <w:color w:val="215868" w:themeColor="accent5" w:themeShade="80"/>
          <w:sz w:val="28"/>
          <w:szCs w:val="28"/>
        </w:rPr>
        <w:t xml:space="preserve"> para la integración de la información del SIIC con la línea de producción cartográfica y apoyar la iniciativa de calidad del dato de dato único.</w:t>
      </w:r>
    </w:p>
    <w:p w:rsidR="00402074" w:rsidRPr="00402074" w:rsidRDefault="00402074" w:rsidP="009E2852">
      <w:pPr>
        <w:pStyle w:val="Prrafodelista"/>
        <w:numPr>
          <w:ilvl w:val="0"/>
          <w:numId w:val="21"/>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realizaron los ajustes necesarios para la adopción del número único predial definido por el Instituto Geográfico Agustín Codazzi – IGAC, con lo cual se tiene una homologación del identificador que usa UAECD, con respecto al identificador del sistema de catastro nacional.</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realizaron ajustes, mejoras y complementos al traductor de direcciones que tiene la entidad en uso con el propósito de extender nuevas consideraciones a la estandarización de direcciones. En este punto es importante anotar, que el despliegue de este ajuste depende del área dueña de la información.</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realizó la implementación de la opción de cambio de nombre automático a partir del archivo de cargue remitidos por las oficinas de registro de la entidad, con lo cual se están reduciendo los procesos de mutaciones de cambios de nombre que ejecutan los profesionales del área misional y se actualiza de forma automática la entidad.</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SNR-Catastro: a la fecha se ha establecido un protocolo de intercambio de información para la actualización de cambios de nomenclatura, reduciendo con esto el número de trámite en ventanilla. En lo que respecta a cambios de nombre se optimizo el proceso, y se espera con esto la eliminación de trámite de cambio de nombre.</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estableció con la SNR un protocolo para la entrega de los archivos digitalizados de las escrituras públicas que generan las novedades de la SNR, esto nos permite mejorar los tiempos de respuesta para el trámite de englobes y </w:t>
      </w:r>
      <w:proofErr w:type="spellStart"/>
      <w:r w:rsidRPr="00402074">
        <w:rPr>
          <w:rFonts w:cstheme="minorHAnsi"/>
          <w:color w:val="215868" w:themeColor="accent5" w:themeShade="80"/>
          <w:sz w:val="28"/>
          <w:szCs w:val="28"/>
        </w:rPr>
        <w:t>desenglobes</w:t>
      </w:r>
      <w:proofErr w:type="spellEnd"/>
      <w:r w:rsidRPr="00402074">
        <w:rPr>
          <w:rFonts w:cstheme="minorHAnsi"/>
          <w:color w:val="215868" w:themeColor="accent5" w:themeShade="80"/>
          <w:sz w:val="28"/>
          <w:szCs w:val="28"/>
        </w:rPr>
        <w:t>, para ello se habilito una consulta en línea a los usuarios de la Subgerencia de Información Física y Jurídica.</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la funcionalidad de radicaciones masivas que a partir de un archivo plan genera las radicaciones automáticas, se integra con el sistema de correspondencia generando los oficios de respuesta y la planilla correspondiente.</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del módulo integrado de liquidación de avalúos catastrales, integrado con el de sensibilidad y el componente geográfico.</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la funcionalidad de certificaciones manuales, para que las entidades externas y funcionarios de la Unidad las puedan generar de manera automática.</w:t>
      </w:r>
    </w:p>
    <w:p w:rsidR="00402074" w:rsidRPr="00402074" w:rsidRDefault="00402074" w:rsidP="009E2852">
      <w:pPr>
        <w:pStyle w:val="Prrafodelista"/>
        <w:numPr>
          <w:ilvl w:val="0"/>
          <w:numId w:val="22"/>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la nueva arquitectura de transición de nuevo SIIC, en una primera fase los requerimientos no funcionales relacionados con seguridad, auditoria, reportes, microservicios, flujos, bandeja de trabajo.</w:t>
      </w:r>
    </w:p>
    <w:p w:rsidR="00402074" w:rsidRPr="00402074" w:rsidRDefault="00402074" w:rsidP="009E2852">
      <w:pPr>
        <w:pStyle w:val="Prrafodelista"/>
        <w:numPr>
          <w:ilvl w:val="0"/>
          <w:numId w:val="23"/>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la nueva versión de FOCA utilizado los nuevos componentes de software de la arquitectura de transición, orientada a aplicaciones WEB.</w:t>
      </w:r>
    </w:p>
    <w:p w:rsidR="00402074" w:rsidRPr="00402074" w:rsidRDefault="00402074" w:rsidP="009E2852">
      <w:pPr>
        <w:pStyle w:val="Prrafodelista"/>
        <w:numPr>
          <w:ilvl w:val="0"/>
          <w:numId w:val="23"/>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A través del contrato realizado con el Consorcio Catastro S&amp;S se realizó la implementación del certificado catastral (tienda virtual) que se hacía de forma manual, el cual le permite al usuario seleccionar la información requerida.</w:t>
      </w:r>
    </w:p>
    <w:p w:rsidR="00402074" w:rsidRPr="00402074" w:rsidRDefault="00402074" w:rsidP="009E2852">
      <w:pPr>
        <w:pStyle w:val="Prrafodelista"/>
        <w:numPr>
          <w:ilvl w:val="0"/>
          <w:numId w:val="23"/>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A través del contrato realizado con el Consorcio Catastro S&amp;S se realizó la implementación de tres (3) servicios web para el reporte de novedades de mutaciones a la Secretaría Distrital de Hacienda: predios nuevos incorporados en la base catastral por medio de la aplicación de mutaciones del proceso de conservación catastral, predios borrados de la base catastral por medio de la aplicación de mutaciones del proceso de conservación catastral y estructuras asociadas a los predios que mediante mutaciones se les modifica el avalúo catastral para la presente vigencia.</w:t>
      </w:r>
    </w:p>
    <w:p w:rsidR="00402074" w:rsidRDefault="00402074" w:rsidP="009E2852">
      <w:pPr>
        <w:pStyle w:val="Prrafodelista"/>
        <w:numPr>
          <w:ilvl w:val="0"/>
          <w:numId w:val="23"/>
        </w:numPr>
        <w:spacing w:after="0"/>
        <w:jc w:val="both"/>
        <w:rPr>
          <w:rFonts w:cstheme="minorHAnsi"/>
          <w:color w:val="215868" w:themeColor="accent5" w:themeShade="80"/>
          <w:sz w:val="28"/>
          <w:szCs w:val="28"/>
        </w:rPr>
      </w:pPr>
      <w:r w:rsidRPr="00402074">
        <w:rPr>
          <w:rFonts w:cstheme="minorHAnsi"/>
          <w:color w:val="215868" w:themeColor="accent5" w:themeShade="80"/>
          <w:sz w:val="28"/>
          <w:szCs w:val="28"/>
        </w:rPr>
        <w:t>Se realizó la implementación del módulo de radicaciones masivas: El cual permite el registro masivo de radicaciones provenientes de correspondencia y la generación de su correspondiente radicado y papeleta de radicación en el SIIC, así como la transferencia a la dependencia destino, generación del Externo-Enviado (EE) y cierre del Externo-Recibido (ER) de entrada en CORDIS.</w:t>
      </w:r>
    </w:p>
    <w:p w:rsidR="00402074" w:rsidRPr="00402074" w:rsidRDefault="00402074" w:rsidP="009E2852">
      <w:pPr>
        <w:pStyle w:val="Prrafodelista"/>
        <w:widowControl w:val="0"/>
        <w:numPr>
          <w:ilvl w:val="0"/>
          <w:numId w:val="23"/>
        </w:numPr>
        <w:autoSpaceDE w:val="0"/>
        <w:autoSpaceDN w:val="0"/>
        <w:spacing w:after="0" w:line="240" w:lineRule="auto"/>
        <w:contextualSpacing w:val="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el procedimiento de control de calidad, mutaciones e integración con el componente geográfico del aplicativo de captura en terreno CT.</w:t>
      </w:r>
    </w:p>
    <w:p w:rsidR="00402074" w:rsidRPr="00402074" w:rsidRDefault="00402074" w:rsidP="009E2852">
      <w:pPr>
        <w:pStyle w:val="Prrafodelista"/>
        <w:widowControl w:val="0"/>
        <w:numPr>
          <w:ilvl w:val="0"/>
          <w:numId w:val="23"/>
        </w:numPr>
        <w:autoSpaceDE w:val="0"/>
        <w:autoSpaceDN w:val="0"/>
        <w:spacing w:after="0" w:line="240" w:lineRule="auto"/>
        <w:contextualSpacing w:val="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el uso de captura en campo para el proceso de conservación de la entidad y vinculado al gestor de trámites de la entidad.</w:t>
      </w:r>
    </w:p>
    <w:p w:rsidR="00402074" w:rsidRPr="00402074" w:rsidRDefault="00402074" w:rsidP="009E2852">
      <w:pPr>
        <w:pStyle w:val="Prrafodelista"/>
        <w:widowControl w:val="0"/>
        <w:numPr>
          <w:ilvl w:val="0"/>
          <w:numId w:val="23"/>
        </w:numPr>
        <w:autoSpaceDE w:val="0"/>
        <w:autoSpaceDN w:val="0"/>
        <w:spacing w:after="0" w:line="240" w:lineRule="auto"/>
        <w:contextualSpacing w:val="0"/>
        <w:jc w:val="both"/>
        <w:rPr>
          <w:rFonts w:cstheme="minorHAnsi"/>
          <w:color w:val="215868" w:themeColor="accent5" w:themeShade="80"/>
          <w:sz w:val="28"/>
          <w:szCs w:val="28"/>
        </w:rPr>
      </w:pPr>
      <w:r w:rsidRPr="00402074">
        <w:rPr>
          <w:rFonts w:cstheme="minorHAnsi"/>
          <w:color w:val="215868" w:themeColor="accent5" w:themeShade="80"/>
          <w:sz w:val="28"/>
          <w:szCs w:val="28"/>
        </w:rPr>
        <w:t>Se implementó la integración con la línea de producción cartográfica para cumplir con los lineamientos de unificación del dato único.</w:t>
      </w:r>
    </w:p>
    <w:p w:rsidR="00402074" w:rsidRPr="00402074" w:rsidRDefault="00402074" w:rsidP="009E2852">
      <w:pPr>
        <w:pStyle w:val="Prrafodelista"/>
        <w:widowControl w:val="0"/>
        <w:numPr>
          <w:ilvl w:val="0"/>
          <w:numId w:val="23"/>
        </w:numPr>
        <w:autoSpaceDE w:val="0"/>
        <w:autoSpaceDN w:val="0"/>
        <w:spacing w:after="0" w:line="240" w:lineRule="auto"/>
        <w:contextualSpacing w:val="0"/>
        <w:jc w:val="both"/>
        <w:rPr>
          <w:rFonts w:cstheme="minorHAnsi"/>
          <w:color w:val="215868" w:themeColor="accent5" w:themeShade="80"/>
          <w:sz w:val="28"/>
          <w:szCs w:val="28"/>
        </w:rPr>
      </w:pPr>
      <w:r w:rsidRPr="00402074">
        <w:rPr>
          <w:rFonts w:cstheme="minorHAnsi"/>
          <w:color w:val="215868" w:themeColor="accent5" w:themeShade="80"/>
          <w:sz w:val="28"/>
          <w:szCs w:val="28"/>
        </w:rPr>
        <w:t>Durante la vigencia 2019 y a través del contrato realizado con el Consorcio Catastro S&amp;S se realizó mantenimiento correctivo sobre el aplicativo.</w:t>
      </w:r>
    </w:p>
    <w:p w:rsidR="00E07CF6" w:rsidRDefault="00E07CF6">
      <w:pPr>
        <w:rPr>
          <w:rFonts w:cstheme="minorHAnsi"/>
          <w:color w:val="215868" w:themeColor="accent5" w:themeShade="80"/>
          <w:sz w:val="28"/>
          <w:szCs w:val="28"/>
        </w:rPr>
      </w:pPr>
      <w:r>
        <w:rPr>
          <w:rFonts w:cstheme="minorHAnsi"/>
          <w:color w:val="215868" w:themeColor="accent5" w:themeShade="80"/>
          <w:sz w:val="28"/>
          <w:szCs w:val="28"/>
        </w:rPr>
        <w:br w:type="page"/>
      </w:r>
    </w:p>
    <w:p w:rsidR="00921B64" w:rsidRDefault="00921B64" w:rsidP="00D4006F">
      <w:pPr>
        <w:pStyle w:val="Prrafodelista"/>
        <w:spacing w:after="0"/>
        <w:ind w:left="-567"/>
        <w:jc w:val="both"/>
        <w:rPr>
          <w:rFonts w:cstheme="minorHAnsi"/>
          <w:color w:val="215868" w:themeColor="accent5" w:themeShade="80"/>
          <w:sz w:val="28"/>
          <w:szCs w:val="28"/>
        </w:rPr>
      </w:pPr>
    </w:p>
    <w:p w:rsidR="004855AC" w:rsidRPr="004855AC" w:rsidRDefault="004855AC" w:rsidP="00E07CF6">
      <w:pPr>
        <w:pStyle w:val="Prrafodelista"/>
        <w:spacing w:after="0"/>
        <w:ind w:left="0"/>
        <w:jc w:val="both"/>
        <w:rPr>
          <w:rFonts w:cstheme="minorHAnsi"/>
          <w:b/>
          <w:color w:val="215868" w:themeColor="accent5" w:themeShade="80"/>
          <w:sz w:val="28"/>
          <w:szCs w:val="28"/>
        </w:rPr>
      </w:pPr>
      <w:r w:rsidRPr="004855AC">
        <w:rPr>
          <w:rFonts w:cstheme="minorHAnsi"/>
          <w:b/>
          <w:color w:val="215868" w:themeColor="accent5" w:themeShade="80"/>
          <w:sz w:val="28"/>
          <w:szCs w:val="28"/>
        </w:rPr>
        <w:t xml:space="preserve">Fortalecimiento del subsistema de gestión de seguridad de la </w:t>
      </w:r>
      <w:r w:rsidR="00CF2707" w:rsidRPr="004855AC">
        <w:rPr>
          <w:rFonts w:cstheme="minorHAnsi"/>
          <w:b/>
          <w:color w:val="215868" w:themeColor="accent5" w:themeShade="80"/>
          <w:sz w:val="28"/>
          <w:szCs w:val="28"/>
        </w:rPr>
        <w:t>información</w:t>
      </w:r>
      <w:r w:rsidR="00CF2707">
        <w:rPr>
          <w:rFonts w:cstheme="minorHAnsi"/>
          <w:b/>
          <w:color w:val="215868" w:themeColor="accent5" w:themeShade="80"/>
          <w:sz w:val="28"/>
          <w:szCs w:val="28"/>
        </w:rPr>
        <w:t>, continuidad</w:t>
      </w:r>
      <w:r>
        <w:rPr>
          <w:rFonts w:cstheme="minorHAnsi"/>
          <w:b/>
          <w:color w:val="215868" w:themeColor="accent5" w:themeShade="80"/>
          <w:sz w:val="28"/>
          <w:szCs w:val="28"/>
        </w:rPr>
        <w:t xml:space="preserve"> del negocio y gobierno digital</w:t>
      </w:r>
    </w:p>
    <w:p w:rsidR="004855AC" w:rsidRDefault="004855AC" w:rsidP="00E07CF6">
      <w:pPr>
        <w:pStyle w:val="Prrafodelista"/>
        <w:spacing w:after="0"/>
        <w:ind w:left="0"/>
        <w:jc w:val="both"/>
        <w:rPr>
          <w:rFonts w:cstheme="minorHAnsi"/>
          <w:color w:val="215868" w:themeColor="accent5" w:themeShade="80"/>
          <w:sz w:val="28"/>
          <w:szCs w:val="28"/>
        </w:rPr>
      </w:pPr>
    </w:p>
    <w:p w:rsidR="00921B64" w:rsidRPr="00921B64" w:rsidRDefault="00921B64" w:rsidP="00E07CF6">
      <w:pPr>
        <w:pStyle w:val="Prrafodelista"/>
        <w:spacing w:after="0"/>
        <w:ind w:left="0"/>
        <w:jc w:val="both"/>
        <w:rPr>
          <w:rFonts w:cstheme="minorHAnsi"/>
          <w:color w:val="215868" w:themeColor="accent5" w:themeShade="80"/>
          <w:sz w:val="28"/>
          <w:szCs w:val="28"/>
        </w:rPr>
      </w:pPr>
      <w:r w:rsidRPr="00921B64">
        <w:rPr>
          <w:rFonts w:cstheme="minorHAnsi"/>
          <w:color w:val="215868" w:themeColor="accent5" w:themeShade="80"/>
          <w:sz w:val="28"/>
          <w:szCs w:val="28"/>
        </w:rPr>
        <w:t>Para el fortalecimiento del Subsistema de gestión de seguridad de la información – SGSI y la actualización del Subsistema de Continuidad del Negocio – SGCN se han realizado las siguientes acciones:</w:t>
      </w:r>
    </w:p>
    <w:p w:rsidR="00921B64" w:rsidRPr="00921B64" w:rsidRDefault="00921B64" w:rsidP="00E07CF6">
      <w:pPr>
        <w:pStyle w:val="Prrafodelista"/>
        <w:spacing w:after="0"/>
        <w:ind w:left="0"/>
        <w:jc w:val="both"/>
        <w:rPr>
          <w:rFonts w:cstheme="minorHAnsi"/>
          <w:color w:val="215868" w:themeColor="accent5" w:themeShade="80"/>
          <w:sz w:val="28"/>
          <w:szCs w:val="28"/>
        </w:rPr>
      </w:pPr>
    </w:p>
    <w:p w:rsidR="00921B64" w:rsidRDefault="00921B64" w:rsidP="00E07CF6">
      <w:pPr>
        <w:pStyle w:val="Prrafodelista"/>
        <w:spacing w:after="0"/>
        <w:ind w:left="0"/>
        <w:jc w:val="both"/>
        <w:rPr>
          <w:rFonts w:cstheme="minorHAnsi"/>
          <w:color w:val="215868" w:themeColor="accent5" w:themeShade="80"/>
          <w:sz w:val="28"/>
          <w:szCs w:val="28"/>
        </w:rPr>
      </w:pPr>
      <w:r w:rsidRPr="00921B64">
        <w:rPr>
          <w:rFonts w:cstheme="minorHAnsi"/>
          <w:color w:val="215868" w:themeColor="accent5" w:themeShade="80"/>
          <w:sz w:val="28"/>
          <w:szCs w:val="28"/>
        </w:rPr>
        <w:t xml:space="preserve">A nivel </w:t>
      </w:r>
      <w:r w:rsidR="00402074">
        <w:rPr>
          <w:rFonts w:cstheme="minorHAnsi"/>
          <w:color w:val="215868" w:themeColor="accent5" w:themeShade="80"/>
          <w:sz w:val="28"/>
          <w:szCs w:val="28"/>
        </w:rPr>
        <w:t xml:space="preserve">del </w:t>
      </w:r>
      <w:r w:rsidR="00715F4C" w:rsidRPr="00715F4C">
        <w:rPr>
          <w:rFonts w:cstheme="minorHAnsi"/>
          <w:color w:val="215868" w:themeColor="accent5" w:themeShade="80"/>
          <w:sz w:val="28"/>
          <w:szCs w:val="28"/>
          <w:u w:val="single"/>
        </w:rPr>
        <w:t xml:space="preserve">subsistema </w:t>
      </w:r>
      <w:r w:rsidR="00402074" w:rsidRPr="00715F4C">
        <w:rPr>
          <w:rFonts w:cstheme="minorHAnsi"/>
          <w:color w:val="215868" w:themeColor="accent5" w:themeShade="80"/>
          <w:sz w:val="28"/>
          <w:szCs w:val="28"/>
          <w:u w:val="single"/>
        </w:rPr>
        <w:t>de seguridad de la información</w:t>
      </w:r>
      <w:r w:rsidR="00402074">
        <w:rPr>
          <w:rFonts w:cstheme="minorHAnsi"/>
          <w:color w:val="215868" w:themeColor="accent5" w:themeShade="80"/>
          <w:sz w:val="28"/>
          <w:szCs w:val="28"/>
        </w:rPr>
        <w:t xml:space="preserve">: </w:t>
      </w:r>
      <w:r w:rsidRPr="00921B64">
        <w:rPr>
          <w:rFonts w:cstheme="minorHAnsi"/>
          <w:color w:val="215868" w:themeColor="accent5" w:themeShade="80"/>
          <w:sz w:val="28"/>
          <w:szCs w:val="28"/>
        </w:rPr>
        <w:t xml:space="preserve"> </w:t>
      </w:r>
    </w:p>
    <w:p w:rsidR="00402074" w:rsidRDefault="00402074" w:rsidP="00E07CF6">
      <w:pPr>
        <w:pStyle w:val="Prrafodelista"/>
        <w:spacing w:after="0"/>
        <w:ind w:left="0"/>
        <w:jc w:val="both"/>
        <w:rPr>
          <w:rFonts w:cstheme="minorHAnsi"/>
          <w:color w:val="215868" w:themeColor="accent5" w:themeShade="80"/>
          <w:sz w:val="28"/>
          <w:szCs w:val="28"/>
        </w:rPr>
      </w:pPr>
    </w:p>
    <w:p w:rsidR="00402074" w:rsidRP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Contratación de recurso humano especializado para la ejecución de las actividades proyectadas a la aplicación del Subsistema de Gestión de Seguridad de la Información, con el objeto de identificar las acciones a trazar en el desarrollo de la mejora continua y la instrumentalización de los controles de seguridad de la información de forma efectiva.</w:t>
      </w:r>
    </w:p>
    <w:p w:rsidR="00402074" w:rsidRP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Ejecución de actividades de sensibilización en seguridad de la información a toda la UAECD.</w:t>
      </w:r>
    </w:p>
    <w:p w:rsidR="00402074" w:rsidRP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Definición y ejecución de un plan anual acorde al modelo de seguridad y privacidad de la información- MSPI, alineado con la Norma Técnica Colombiana ISO 27001 y la estrategia de Gobierno en línea del MINTIC. </w:t>
      </w:r>
    </w:p>
    <w:p w:rsidR="00402074" w:rsidRP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Contratación de un recurso humano especializado en protección de datos personales quien funge actualmente como Oficial de protección de datos personales.</w:t>
      </w:r>
    </w:p>
    <w:p w:rsid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Implementación del Programa Integral de protección de datos personales</w:t>
      </w:r>
      <w:r>
        <w:rPr>
          <w:rFonts w:cstheme="minorHAnsi"/>
          <w:color w:val="215868" w:themeColor="accent5" w:themeShade="80"/>
          <w:sz w:val="28"/>
          <w:szCs w:val="28"/>
        </w:rPr>
        <w:t>.</w:t>
      </w:r>
    </w:p>
    <w:p w:rsid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Cierre de la brecha identificada con la implementación de controles del Anexo A de la norma ISO 27001.</w:t>
      </w:r>
    </w:p>
    <w:p w:rsidR="00402074" w:rsidRP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Elaboración de un plan de trabajo para la instrumentalización mensual de controles de seguridad de la información, acorde a la norma ISO 27001.</w:t>
      </w:r>
    </w:p>
    <w:p w:rsidR="00402074" w:rsidRPr="00402074"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Actualización de los procedimientos de Gestión de Activos y Gestión de Riesgos, en el marco de la seguridad de la información.</w:t>
      </w:r>
    </w:p>
    <w:p w:rsidR="00E07CF6"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Diseño de la metodología para la gestión de riesgos</w:t>
      </w:r>
      <w:r>
        <w:rPr>
          <w:rFonts w:cstheme="minorHAnsi"/>
          <w:color w:val="215868" w:themeColor="accent5" w:themeShade="80"/>
          <w:sz w:val="28"/>
          <w:szCs w:val="28"/>
        </w:rPr>
        <w:t xml:space="preserve"> de activos y avance en su implementación. </w:t>
      </w:r>
    </w:p>
    <w:p w:rsidR="00E07CF6"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E07CF6">
        <w:rPr>
          <w:rFonts w:cstheme="minorHAnsi"/>
          <w:color w:val="215868" w:themeColor="accent5" w:themeShade="80"/>
          <w:sz w:val="28"/>
          <w:szCs w:val="28"/>
        </w:rPr>
        <w:t>Identificación de los activos de información y activos tipo hardware, software, servicios y conocimiento y la valoración en cuanto a la confidencialidad, integridad y disponibilidad para todos los procesos de la entidad.</w:t>
      </w:r>
    </w:p>
    <w:p w:rsidR="00402074" w:rsidRPr="00E07CF6" w:rsidRDefault="00402074" w:rsidP="009E2852">
      <w:pPr>
        <w:pStyle w:val="Prrafodelista"/>
        <w:numPr>
          <w:ilvl w:val="0"/>
          <w:numId w:val="17"/>
        </w:numPr>
        <w:spacing w:after="0"/>
        <w:ind w:left="426" w:hanging="426"/>
        <w:jc w:val="both"/>
        <w:rPr>
          <w:rFonts w:cstheme="minorHAnsi"/>
          <w:color w:val="215868" w:themeColor="accent5" w:themeShade="80"/>
          <w:sz w:val="28"/>
          <w:szCs w:val="28"/>
        </w:rPr>
      </w:pPr>
      <w:r w:rsidRPr="00E07CF6">
        <w:rPr>
          <w:rFonts w:cstheme="minorHAnsi"/>
          <w:color w:val="215868" w:themeColor="accent5" w:themeShade="80"/>
          <w:sz w:val="28"/>
          <w:szCs w:val="28"/>
        </w:rPr>
        <w:t>Actualización del autodiagnóstico del Modelo de Seguridad y Privacidad de la Información - MSPI y la declaración y aplicabilidad de controles de seguridad de la información.</w:t>
      </w:r>
    </w:p>
    <w:p w:rsidR="00402074" w:rsidRPr="00402074" w:rsidRDefault="00402074" w:rsidP="00402074">
      <w:pPr>
        <w:pStyle w:val="Prrafodelista"/>
        <w:ind w:left="-567"/>
        <w:jc w:val="both"/>
        <w:rPr>
          <w:rFonts w:cstheme="minorHAnsi"/>
          <w:color w:val="215868" w:themeColor="accent5" w:themeShade="80"/>
          <w:sz w:val="28"/>
          <w:szCs w:val="28"/>
        </w:rPr>
      </w:pPr>
    </w:p>
    <w:p w:rsidR="00921B64" w:rsidRDefault="00402074" w:rsidP="00E07CF6">
      <w:pPr>
        <w:pStyle w:val="Prrafodelista"/>
        <w:ind w:left="0"/>
        <w:jc w:val="both"/>
        <w:rPr>
          <w:rFonts w:cstheme="minorHAnsi"/>
          <w:color w:val="215868" w:themeColor="accent5" w:themeShade="80"/>
          <w:sz w:val="28"/>
          <w:szCs w:val="28"/>
        </w:rPr>
      </w:pPr>
      <w:r>
        <w:rPr>
          <w:rFonts w:cstheme="minorHAnsi"/>
          <w:color w:val="215868" w:themeColor="accent5" w:themeShade="80"/>
          <w:sz w:val="28"/>
          <w:szCs w:val="28"/>
        </w:rPr>
        <w:t xml:space="preserve">A nivel de la implementación de la </w:t>
      </w:r>
      <w:r w:rsidRPr="00715F4C">
        <w:rPr>
          <w:rFonts w:cstheme="minorHAnsi"/>
          <w:color w:val="215868" w:themeColor="accent5" w:themeShade="80"/>
          <w:sz w:val="28"/>
          <w:szCs w:val="28"/>
          <w:u w:val="single"/>
        </w:rPr>
        <w:t>estrategia de gobierno en línea</w:t>
      </w:r>
      <w:r>
        <w:rPr>
          <w:rFonts w:cstheme="minorHAnsi"/>
          <w:color w:val="215868" w:themeColor="accent5" w:themeShade="80"/>
          <w:sz w:val="28"/>
          <w:szCs w:val="28"/>
        </w:rPr>
        <w:t xml:space="preserve"> se tienen los siguientes logros y avances:</w:t>
      </w: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Participación</w:t>
      </w:r>
      <w:r>
        <w:rPr>
          <w:rFonts w:cstheme="minorHAnsi"/>
          <w:color w:val="215868" w:themeColor="accent5" w:themeShade="80"/>
          <w:sz w:val="28"/>
          <w:szCs w:val="28"/>
        </w:rPr>
        <w:t xml:space="preserve">: </w:t>
      </w:r>
      <w:r w:rsidR="00715F4C">
        <w:rPr>
          <w:rFonts w:cstheme="minorHAnsi"/>
          <w:color w:val="215868" w:themeColor="accent5" w:themeShade="80"/>
          <w:sz w:val="28"/>
          <w:szCs w:val="28"/>
        </w:rPr>
        <w:t xml:space="preserve">Como resultado de la </w:t>
      </w:r>
      <w:r w:rsidRPr="00402074">
        <w:rPr>
          <w:rFonts w:cstheme="minorHAnsi"/>
          <w:color w:val="215868" w:themeColor="accent5" w:themeShade="80"/>
          <w:sz w:val="28"/>
          <w:szCs w:val="28"/>
        </w:rPr>
        <w:t>inclusión de las herramientas electrónicas, se han impulsado actividades de participación ciudadana por ejemplo la rendición de cuentas y la entrega de información por parte de la Unidad a las entidades cabeza del sector.</w:t>
      </w:r>
    </w:p>
    <w:p w:rsidR="00402074" w:rsidRPr="00402074" w:rsidRDefault="00402074" w:rsidP="00E07CF6">
      <w:pPr>
        <w:spacing w:after="0" w:line="240" w:lineRule="auto"/>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Colaboración</w:t>
      </w:r>
      <w:r>
        <w:rPr>
          <w:rFonts w:cstheme="minorHAnsi"/>
          <w:color w:val="215868" w:themeColor="accent5" w:themeShade="80"/>
          <w:sz w:val="28"/>
          <w:szCs w:val="28"/>
        </w:rPr>
        <w:t xml:space="preserve">: </w:t>
      </w:r>
      <w:r w:rsidRPr="00402074">
        <w:rPr>
          <w:rFonts w:cstheme="minorHAnsi"/>
          <w:color w:val="215868" w:themeColor="accent5" w:themeShade="80"/>
          <w:sz w:val="28"/>
          <w:szCs w:val="28"/>
        </w:rPr>
        <w:t>Se han realizado capacitaciones a los funcionarios respecto cómo la innovación abierta es un elemento importante en la gestión de la unidad.</w:t>
      </w:r>
    </w:p>
    <w:p w:rsidR="00402074" w:rsidRPr="00402074" w:rsidRDefault="00402074" w:rsidP="00E07CF6">
      <w:pPr>
        <w:spacing w:after="0" w:line="240" w:lineRule="auto"/>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Servicios centrados en el usuario</w:t>
      </w:r>
      <w:r>
        <w:rPr>
          <w:rFonts w:cstheme="minorHAnsi"/>
          <w:color w:val="215868" w:themeColor="accent5" w:themeShade="80"/>
          <w:sz w:val="28"/>
          <w:szCs w:val="28"/>
        </w:rPr>
        <w:t>:</w:t>
      </w:r>
      <w:r w:rsidRPr="00402074">
        <w:rPr>
          <w:rFonts w:cstheme="minorHAnsi"/>
          <w:color w:val="215868" w:themeColor="accent5" w:themeShade="80"/>
          <w:sz w:val="28"/>
          <w:szCs w:val="28"/>
        </w:rPr>
        <w:t xml:space="preserve"> </w:t>
      </w:r>
    </w:p>
    <w:p w:rsidR="00402074" w:rsidRPr="00402074" w:rsidRDefault="00402074" w:rsidP="009E2852">
      <w:pPr>
        <w:pStyle w:val="Prrafodelista"/>
        <w:widowControl w:val="0"/>
        <w:numPr>
          <w:ilvl w:val="0"/>
          <w:numId w:val="13"/>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ha actualizado el documento de caracterización de usuarios y se generó caracterización por un trámite. </w:t>
      </w:r>
    </w:p>
    <w:p w:rsidR="00402074" w:rsidRPr="00402074" w:rsidRDefault="00402074" w:rsidP="009E2852">
      <w:pPr>
        <w:pStyle w:val="Prrafodelista"/>
        <w:widowControl w:val="0"/>
        <w:numPr>
          <w:ilvl w:val="0"/>
          <w:numId w:val="13"/>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continua con la medición de la satisfacción del usuario incluyendo más elementos que ayudan en la mejora constantes de todos los servicios electrónicos.</w:t>
      </w:r>
    </w:p>
    <w:p w:rsidR="00402074" w:rsidRPr="00402074" w:rsidRDefault="00402074" w:rsidP="009E2852">
      <w:pPr>
        <w:pStyle w:val="Prrafodelista"/>
        <w:widowControl w:val="0"/>
        <w:numPr>
          <w:ilvl w:val="0"/>
          <w:numId w:val="13"/>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realizó la puesta en producción de las páginas web de IDECA, Catastro Bogotá e Intranet. </w:t>
      </w:r>
    </w:p>
    <w:p w:rsidR="00402074" w:rsidRPr="00402074" w:rsidRDefault="00402074" w:rsidP="00E07CF6">
      <w:pPr>
        <w:spacing w:after="0" w:line="240" w:lineRule="auto"/>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Sistema integrado de PQRD</w:t>
      </w:r>
      <w:r>
        <w:rPr>
          <w:rFonts w:cstheme="minorHAnsi"/>
          <w:color w:val="215868" w:themeColor="accent5" w:themeShade="80"/>
          <w:sz w:val="28"/>
          <w:szCs w:val="28"/>
        </w:rPr>
        <w:t xml:space="preserve">: </w:t>
      </w:r>
      <w:r w:rsidR="00715F4C">
        <w:rPr>
          <w:rFonts w:cstheme="minorHAnsi"/>
          <w:color w:val="215868" w:themeColor="accent5" w:themeShade="80"/>
          <w:sz w:val="28"/>
          <w:szCs w:val="28"/>
        </w:rPr>
        <w:t xml:space="preserve"> </w:t>
      </w:r>
      <w:r w:rsidRPr="00402074">
        <w:rPr>
          <w:rFonts w:cstheme="minorHAnsi"/>
          <w:color w:val="215868" w:themeColor="accent5" w:themeShade="80"/>
          <w:sz w:val="28"/>
          <w:szCs w:val="28"/>
        </w:rPr>
        <w:t>Gracias a que se cuenta con la plataforma de SDQS hoy Bogotá te Escucha, se tiene preparado el portal web para que las solicitudes que se generan desde la web se integren a la misma plataforma.</w:t>
      </w:r>
    </w:p>
    <w:p w:rsidR="00402074" w:rsidRPr="00402074" w:rsidRDefault="00402074" w:rsidP="00E07CF6">
      <w:pPr>
        <w:spacing w:after="0" w:line="240" w:lineRule="auto"/>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Trámites y servicios en línea </w:t>
      </w:r>
    </w:p>
    <w:p w:rsidR="00E07CF6" w:rsidRDefault="00402074" w:rsidP="009E2852">
      <w:pPr>
        <w:pStyle w:val="Prrafodelista"/>
        <w:widowControl w:val="0"/>
        <w:numPr>
          <w:ilvl w:val="0"/>
          <w:numId w:val="13"/>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La mejora constante de catastro en línea (Ventanilla virtual de Catastro) ha dado como paso el inicio y desarrollo del nuevo catastro en línea, esto teniendo en cuenta los elementos importantes como accesibilidad, usabilidad y experiencia de usuario sobre esta plataforma.</w:t>
      </w:r>
    </w:p>
    <w:p w:rsidR="00402074" w:rsidRPr="00E07CF6" w:rsidRDefault="00402074" w:rsidP="009E2852">
      <w:pPr>
        <w:pStyle w:val="Prrafodelista"/>
        <w:widowControl w:val="0"/>
        <w:numPr>
          <w:ilvl w:val="0"/>
          <w:numId w:val="13"/>
        </w:numPr>
        <w:autoSpaceDE w:val="0"/>
        <w:autoSpaceDN w:val="0"/>
        <w:spacing w:after="0" w:line="240" w:lineRule="auto"/>
        <w:ind w:left="426" w:hanging="426"/>
        <w:jc w:val="both"/>
        <w:rPr>
          <w:rFonts w:cstheme="minorHAnsi"/>
          <w:color w:val="215868" w:themeColor="accent5" w:themeShade="80"/>
          <w:sz w:val="28"/>
          <w:szCs w:val="28"/>
        </w:rPr>
      </w:pPr>
      <w:r w:rsidRPr="00E07CF6">
        <w:rPr>
          <w:rFonts w:cstheme="minorHAnsi"/>
          <w:color w:val="215868" w:themeColor="accent5" w:themeShade="80"/>
          <w:sz w:val="28"/>
          <w:szCs w:val="28"/>
        </w:rPr>
        <w:t>De igual forma hacer parte de la Ventanilla Virtual de la Construcción ha disminuido los tiempos de respuesta en la cadena de trámites de la construcción.</w:t>
      </w:r>
    </w:p>
    <w:p w:rsidR="00402074" w:rsidRPr="00402074" w:rsidRDefault="00402074" w:rsidP="00715F4C">
      <w:pPr>
        <w:pStyle w:val="Prrafodelista"/>
        <w:widowControl w:val="0"/>
        <w:autoSpaceDE w:val="0"/>
        <w:autoSpaceDN w:val="0"/>
        <w:spacing w:after="0" w:line="240" w:lineRule="auto"/>
        <w:ind w:left="0" w:hanging="567"/>
        <w:jc w:val="both"/>
        <w:rPr>
          <w:rFonts w:cstheme="minorHAnsi"/>
          <w:color w:val="215868" w:themeColor="accent5" w:themeShade="80"/>
          <w:sz w:val="28"/>
          <w:szCs w:val="28"/>
        </w:rPr>
      </w:pPr>
    </w:p>
    <w:p w:rsidR="00402074" w:rsidRPr="00402074" w:rsidRDefault="00402074" w:rsidP="00E07CF6">
      <w:pPr>
        <w:spacing w:after="0" w:line="240" w:lineRule="auto"/>
        <w:ind w:left="567" w:hanging="567"/>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Arquitectura - Estrategia de TI</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 venido actualizando la documentación referente al PETI anualmente y se inició en el proceso de homologar e implementar con la nueva guía propuesta por MinTIC.</w:t>
      </w:r>
    </w:p>
    <w:p w:rsidR="00402074" w:rsidRPr="00402074" w:rsidRDefault="00402074" w:rsidP="00402074">
      <w:pPr>
        <w:spacing w:after="0" w:line="240" w:lineRule="auto"/>
        <w:ind w:left="-567"/>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Gobierno de TI  </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incluido en el esquema de Gobierno de TI, políticas, procesos, indicadores, roles y responsabilidades, todos definidos dentro de la estructura organizacional.</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De igual forma se ha ampliado las compras a través de la plataforma de Colombia Compra Eficiente.</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Para todos los contratos se establece una política de transferencia de conocimiento hacia la entidad.</w:t>
      </w:r>
    </w:p>
    <w:p w:rsidR="00402074" w:rsidRPr="00402074" w:rsidRDefault="00402074" w:rsidP="00402074">
      <w:pPr>
        <w:spacing w:after="0" w:line="240" w:lineRule="auto"/>
        <w:ind w:left="-567"/>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Información  </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actualizado y compilado los catálogos de servicios de TI, sistemas de información y servicios tecnológicos de la entidad.</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establecido múltiples convenios de intercambio de información diferentes actores (público y privado) unos de esos son CENTRAL DE INVERSIONES S. A. – CISA, el Comando de Reclutamiento - COREC, dando como resultado mejoras en la prestación de nuestro servicio a la ciudadanía y otras entidades y el Superintendencia de Notariado y Registro.</w:t>
      </w:r>
    </w:p>
    <w:p w:rsidR="00402074" w:rsidRPr="00402074" w:rsidRDefault="00402074" w:rsidP="00402074">
      <w:pPr>
        <w:spacing w:after="0" w:line="240" w:lineRule="auto"/>
        <w:ind w:left="-567"/>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Sistemas de Información</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incorporado dentro de los contratos de desarrollo de sistemas de información, cláusulas para realizar transferencia de derechos de autor.</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incorporado las recomendaciones de estilo y usabilidad a los portales web y al nuevo catastro en línea.</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incluido nuevas funcionalidades a los sistemas actuales, gracias al proceso de articulación con las otras áreas de la entidad, donde se busca la mejora continua en la gestión interna.</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realizan periódicamente mantenimientos preventivos y correctivos sobre la infraestructura Tecnológica de TI.</w:t>
      </w:r>
    </w:p>
    <w:p w:rsidR="00402074" w:rsidRPr="00402074" w:rsidRDefault="00402074" w:rsidP="00402074">
      <w:pPr>
        <w:spacing w:after="0" w:line="240" w:lineRule="auto"/>
        <w:ind w:left="-567"/>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Servicios Tecnológicos</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La Entidad tiene implementado y actualizado un programa de correcta disposición final de los residuos tecnológicos.</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realiza continuamente el seguimiento a los Acuerdos de Nivel de Servicio (ANS) de los servicios tecnológicos prestados por terceros.</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amplio la mesa de servicio a otras áreas (Comunicaciones y Oficina Asesora Jurídica) para que hicieran uso de dicha herramienta.</w:t>
      </w:r>
    </w:p>
    <w:p w:rsidR="00402074" w:rsidRPr="00402074" w:rsidRDefault="00402074" w:rsidP="00402074">
      <w:pPr>
        <w:spacing w:after="0" w:line="240" w:lineRule="auto"/>
        <w:ind w:left="-567"/>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Uso y Apropiación</w:t>
      </w:r>
    </w:p>
    <w:p w:rsidR="00402074" w:rsidRPr="00402074" w:rsidRDefault="00402074" w:rsidP="009E2852">
      <w:pPr>
        <w:numPr>
          <w:ilvl w:val="0"/>
          <w:numId w:val="11"/>
        </w:numPr>
        <w:spacing w:after="0" w:line="240" w:lineRule="auto"/>
        <w:ind w:left="426" w:hanging="426"/>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Se participó en el Concurso de Máxima Velocidad de 2017 y 2018, obteniendo el primer puesto en la categoría de Otras entidades territoriales, este es un logro de toda la entidad dado que es una forma de demostrar que se ha venido trabajando en el cumplimiento de la estrategia de Gobierno en Línea (ahora Política de Gobierno Digital), de igual forma en este momento estamos participando en la edición 2019.</w:t>
      </w:r>
    </w:p>
    <w:p w:rsidR="00402074" w:rsidRPr="00402074" w:rsidRDefault="00402074" w:rsidP="00402074">
      <w:pPr>
        <w:spacing w:after="0" w:line="240" w:lineRule="auto"/>
        <w:ind w:left="-567"/>
        <w:contextualSpacing/>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Seguridad y Privacidad de la Información</w:t>
      </w:r>
    </w:p>
    <w:p w:rsidR="00402074" w:rsidRPr="00715F4C" w:rsidRDefault="00402074" w:rsidP="009E2852">
      <w:pPr>
        <w:pStyle w:val="Prrafodelista"/>
        <w:numPr>
          <w:ilvl w:val="0"/>
          <w:numId w:val="18"/>
        </w:numPr>
        <w:spacing w:after="0" w:line="240" w:lineRule="auto"/>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 xml:space="preserve">Definición de marco de seguridad y privacidad de la Entidad       </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 xml:space="preserve">Se ha generado un diagnóstico del Modelo de Seguridad y Privacidad de la Información (MSPI).  </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Ser realizó el diagnóstico de toda la infraestructura (software y hardware) de la entidad, en el plan se continúa trabajando en el plan de direccionamiento. Todo esto ha venido siendo registrado en la plataforma que MinTIC entregó para dicha transición.</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La entidad cuenta con el inventario de activos de información e Índice de Información Clasificada y Reservada, publicado tanto en el portal web de la entidad, como en la plataforma de datos abiertos de la nación.</w:t>
      </w:r>
    </w:p>
    <w:p w:rsidR="00715F4C" w:rsidRDefault="00715F4C" w:rsidP="00715F4C">
      <w:pPr>
        <w:spacing w:after="0" w:line="240" w:lineRule="auto"/>
        <w:ind w:hanging="567"/>
        <w:contextualSpacing/>
        <w:jc w:val="both"/>
        <w:rPr>
          <w:rFonts w:cstheme="minorHAnsi"/>
          <w:color w:val="215868" w:themeColor="accent5" w:themeShade="80"/>
          <w:sz w:val="28"/>
          <w:szCs w:val="28"/>
        </w:rPr>
      </w:pPr>
    </w:p>
    <w:p w:rsidR="00402074" w:rsidRPr="00402074" w:rsidRDefault="00402074" w:rsidP="00E07CF6">
      <w:pPr>
        <w:spacing w:after="0" w:line="240" w:lineRule="auto"/>
        <w:ind w:left="426" w:hanging="426"/>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Implementación del plan de seguridad y privacidad</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han realizado avances en la identificación de riegos según el plan de tratamiento de riesgos.</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vienen realizando periódicamente capacitaciones, sensibilizaciones y en general divulgación sobre las temáticas del modelo de gestión de seguridad de la información establecido para la entidad.</w:t>
      </w:r>
    </w:p>
    <w:p w:rsidR="00402074" w:rsidRPr="00402074" w:rsidRDefault="00402074" w:rsidP="009E2852">
      <w:pPr>
        <w:pStyle w:val="Prrafodelista"/>
        <w:numPr>
          <w:ilvl w:val="0"/>
          <w:numId w:val="14"/>
        </w:numPr>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Se publicaron los activos de información 2019.</w:t>
      </w:r>
    </w:p>
    <w:p w:rsidR="00402074" w:rsidRPr="00402074" w:rsidRDefault="00402074" w:rsidP="009E2852">
      <w:pPr>
        <w:numPr>
          <w:ilvl w:val="0"/>
          <w:numId w:val="14"/>
        </w:numPr>
        <w:spacing w:after="160" w:line="259" w:lineRule="auto"/>
        <w:ind w:left="426" w:hanging="426"/>
        <w:rPr>
          <w:rFonts w:cstheme="minorHAnsi"/>
          <w:color w:val="215868" w:themeColor="accent5" w:themeShade="80"/>
          <w:sz w:val="28"/>
          <w:szCs w:val="28"/>
        </w:rPr>
      </w:pPr>
      <w:r w:rsidRPr="00402074">
        <w:rPr>
          <w:rFonts w:cstheme="minorHAnsi"/>
          <w:color w:val="215868" w:themeColor="accent5" w:themeShade="80"/>
          <w:sz w:val="28"/>
          <w:szCs w:val="28"/>
        </w:rPr>
        <w:t>Se publicó la resolución de activos de información.</w:t>
      </w:r>
    </w:p>
    <w:p w:rsidR="00402074" w:rsidRPr="00402074" w:rsidRDefault="00402074" w:rsidP="00402074">
      <w:pPr>
        <w:spacing w:after="0" w:line="240" w:lineRule="auto"/>
        <w:ind w:left="-567"/>
        <w:jc w:val="both"/>
        <w:rPr>
          <w:rFonts w:cstheme="minorHAnsi"/>
          <w:color w:val="215868" w:themeColor="accent5" w:themeShade="80"/>
          <w:sz w:val="28"/>
          <w:szCs w:val="28"/>
        </w:rPr>
      </w:pPr>
    </w:p>
    <w:p w:rsidR="00402074" w:rsidRPr="00402074" w:rsidRDefault="00402074" w:rsidP="00E07CF6">
      <w:pPr>
        <w:spacing w:after="0" w:line="240" w:lineRule="auto"/>
        <w:contextualSpacing/>
        <w:jc w:val="both"/>
        <w:rPr>
          <w:rFonts w:cstheme="minorHAnsi"/>
          <w:color w:val="215868" w:themeColor="accent5" w:themeShade="80"/>
          <w:sz w:val="28"/>
          <w:szCs w:val="28"/>
        </w:rPr>
      </w:pPr>
      <w:r w:rsidRPr="00402074">
        <w:rPr>
          <w:rFonts w:cstheme="minorHAnsi"/>
          <w:color w:val="215868" w:themeColor="accent5" w:themeShade="80"/>
          <w:sz w:val="28"/>
          <w:szCs w:val="28"/>
        </w:rPr>
        <w:t>Monitoreo y mejoramiento continuo</w:t>
      </w:r>
    </w:p>
    <w:p w:rsidR="00402074" w:rsidRPr="00402074" w:rsidRDefault="00402074" w:rsidP="009E2852">
      <w:pPr>
        <w:pStyle w:val="Prrafodelista"/>
        <w:widowControl w:val="0"/>
        <w:numPr>
          <w:ilvl w:val="0"/>
          <w:numId w:val="14"/>
        </w:numPr>
        <w:autoSpaceDE w:val="0"/>
        <w:autoSpaceDN w:val="0"/>
        <w:spacing w:after="0" w:line="240" w:lineRule="auto"/>
        <w:ind w:left="426" w:hanging="426"/>
        <w:jc w:val="both"/>
        <w:rPr>
          <w:rFonts w:cstheme="minorHAnsi"/>
          <w:color w:val="215868" w:themeColor="accent5" w:themeShade="80"/>
          <w:sz w:val="28"/>
          <w:szCs w:val="28"/>
        </w:rPr>
      </w:pPr>
      <w:r w:rsidRPr="00402074">
        <w:rPr>
          <w:rFonts w:cstheme="minorHAnsi"/>
          <w:color w:val="215868" w:themeColor="accent5" w:themeShade="80"/>
          <w:sz w:val="28"/>
          <w:szCs w:val="28"/>
        </w:rPr>
        <w:t>La entidad cuenta con actividades para el seguimiento, medición, análisis y evaluación del desempeño de la seguridad y privacidad.</w:t>
      </w:r>
    </w:p>
    <w:p w:rsidR="00402074" w:rsidRPr="00402074" w:rsidRDefault="00402074" w:rsidP="00402074">
      <w:pPr>
        <w:pStyle w:val="Prrafodelista"/>
        <w:ind w:left="-567"/>
        <w:jc w:val="both"/>
        <w:rPr>
          <w:rFonts w:cstheme="minorHAnsi"/>
          <w:color w:val="215868" w:themeColor="accent5" w:themeShade="80"/>
          <w:sz w:val="28"/>
          <w:szCs w:val="28"/>
        </w:rPr>
      </w:pPr>
    </w:p>
    <w:p w:rsidR="00402074" w:rsidRDefault="00715F4C" w:rsidP="00E07CF6">
      <w:pPr>
        <w:pStyle w:val="Prrafodelista"/>
        <w:ind w:left="0"/>
        <w:jc w:val="both"/>
        <w:rPr>
          <w:rFonts w:cstheme="minorHAnsi"/>
          <w:color w:val="215868" w:themeColor="accent5" w:themeShade="80"/>
          <w:sz w:val="28"/>
          <w:szCs w:val="28"/>
        </w:rPr>
      </w:pPr>
      <w:r>
        <w:rPr>
          <w:rFonts w:cstheme="minorHAnsi"/>
          <w:color w:val="215868" w:themeColor="accent5" w:themeShade="80"/>
          <w:sz w:val="28"/>
          <w:szCs w:val="28"/>
        </w:rPr>
        <w:t xml:space="preserve">A nivel del </w:t>
      </w:r>
      <w:r w:rsidRPr="00715F4C">
        <w:rPr>
          <w:rFonts w:cstheme="minorHAnsi"/>
          <w:color w:val="215868" w:themeColor="accent5" w:themeShade="80"/>
          <w:sz w:val="28"/>
          <w:szCs w:val="28"/>
          <w:u w:val="single"/>
        </w:rPr>
        <w:t>subsistema de continuidad del negocio</w:t>
      </w:r>
      <w:r>
        <w:rPr>
          <w:rFonts w:cstheme="minorHAnsi"/>
          <w:color w:val="215868" w:themeColor="accent5" w:themeShade="80"/>
          <w:sz w:val="28"/>
          <w:szCs w:val="28"/>
        </w:rPr>
        <w:t>:</w:t>
      </w:r>
    </w:p>
    <w:p w:rsidR="00402074" w:rsidRDefault="00402074" w:rsidP="00797D7D">
      <w:pPr>
        <w:pStyle w:val="Prrafodelista"/>
        <w:ind w:left="-567"/>
        <w:jc w:val="both"/>
        <w:rPr>
          <w:rFonts w:cstheme="minorHAnsi"/>
          <w:color w:val="215868" w:themeColor="accent5" w:themeShade="80"/>
          <w:sz w:val="28"/>
          <w:szCs w:val="28"/>
        </w:rPr>
      </w:pP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Actualización de la metodología para el Análisis de Impacto al Negocio (BIA)</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Actualización de la metodología para el Análisis de Riesgos (RA).</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 xml:space="preserve">Estudio de viabilidad tanto financiero como técnico para la solución de software que permite gestionar los dos Subsistemas SGSI y SGCN.  </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Actualización del Análisis de Financiero en la UAECD en caso de una interrupción del servicio.</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Transferencia de conocimiento como Implementador Líder ISO22301:2012 a diez (10) funcionarios, cubriendo todos los aspectos fundamentales de la norma internacional ISO22301:2012, con certificación internacional.</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Política copias de respaldo</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Integración del Subsistema de continuidad del negocio (SGCN) con la metodología de la Estrategia Institucional de respuesta e emergencias (EIR) del IDIGER</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Actualización y Socialización de los Planes de continuidad (BCP)</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Actualización y Socialización de los Planes de recuperación (DRP)</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Equipos de recuperación articulados</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Política de continuidad Actualizada y Socializada</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Mapa de ruta SGCN (2019-2022)</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Ejercicios y Pruebas sobre la estrategia y Planes de continuidad de la UAECD</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Programa de Planes y Ejercicios</w:t>
      </w:r>
    </w:p>
    <w:p w:rsidR="00715F4C" w:rsidRPr="00715F4C"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Programa de Capacitación y Socialización</w:t>
      </w:r>
    </w:p>
    <w:p w:rsidR="00715F4C" w:rsidRPr="00921B64" w:rsidRDefault="00715F4C" w:rsidP="009E2852">
      <w:pPr>
        <w:pStyle w:val="Prrafodelista"/>
        <w:numPr>
          <w:ilvl w:val="0"/>
          <w:numId w:val="19"/>
        </w:numPr>
        <w:spacing w:after="0"/>
        <w:ind w:left="426" w:hanging="426"/>
        <w:jc w:val="both"/>
        <w:rPr>
          <w:rFonts w:cstheme="minorHAnsi"/>
          <w:color w:val="215868" w:themeColor="accent5" w:themeShade="80"/>
          <w:sz w:val="28"/>
          <w:szCs w:val="28"/>
        </w:rPr>
      </w:pPr>
      <w:r w:rsidRPr="00715F4C">
        <w:rPr>
          <w:rFonts w:cstheme="minorHAnsi"/>
          <w:color w:val="215868" w:themeColor="accent5" w:themeShade="80"/>
          <w:sz w:val="28"/>
          <w:szCs w:val="28"/>
        </w:rPr>
        <w:t>Programa de comunicación y sensibilización</w:t>
      </w:r>
    </w:p>
    <w:p w:rsidR="00E07CF6" w:rsidRDefault="00E07CF6">
      <w:pPr>
        <w:rPr>
          <w:rFonts w:cstheme="minorHAnsi"/>
          <w:color w:val="215868" w:themeColor="accent5" w:themeShade="80"/>
          <w:sz w:val="28"/>
          <w:szCs w:val="28"/>
        </w:rPr>
      </w:pPr>
      <w:r>
        <w:rPr>
          <w:rFonts w:cstheme="minorHAnsi"/>
          <w:color w:val="215868" w:themeColor="accent5" w:themeShade="80"/>
          <w:sz w:val="28"/>
          <w:szCs w:val="28"/>
        </w:rPr>
        <w:br w:type="page"/>
      </w:r>
    </w:p>
    <w:p w:rsidR="00921B64" w:rsidRPr="00B3457B" w:rsidRDefault="00921B64" w:rsidP="00E07CF6">
      <w:pPr>
        <w:pStyle w:val="Prrafodelista"/>
        <w:spacing w:after="0"/>
        <w:ind w:left="0"/>
        <w:jc w:val="both"/>
        <w:rPr>
          <w:rFonts w:cstheme="minorHAnsi"/>
          <w:color w:val="215868" w:themeColor="accent5" w:themeShade="80"/>
          <w:sz w:val="28"/>
          <w:szCs w:val="28"/>
        </w:rPr>
      </w:pPr>
    </w:p>
    <w:p w:rsidR="000814BD" w:rsidRPr="003B547C" w:rsidRDefault="000814BD" w:rsidP="009E2852">
      <w:pPr>
        <w:pStyle w:val="Prrafodelista"/>
        <w:numPr>
          <w:ilvl w:val="2"/>
          <w:numId w:val="4"/>
        </w:numPr>
        <w:spacing w:after="0"/>
        <w:ind w:left="709"/>
        <w:jc w:val="both"/>
        <w:rPr>
          <w:rFonts w:cstheme="minorHAnsi"/>
          <w:b/>
          <w:color w:val="215868" w:themeColor="accent5" w:themeShade="80"/>
          <w:sz w:val="28"/>
          <w:szCs w:val="28"/>
        </w:rPr>
      </w:pPr>
      <w:r w:rsidRPr="003B547C">
        <w:rPr>
          <w:rFonts w:cstheme="minorHAnsi"/>
          <w:b/>
          <w:color w:val="215868" w:themeColor="accent5" w:themeShade="80"/>
          <w:sz w:val="28"/>
          <w:szCs w:val="28"/>
        </w:rPr>
        <w:t>Fortalecimiento de la gestión comercial en la UAECD</w:t>
      </w:r>
    </w:p>
    <w:p w:rsidR="009A78B9" w:rsidRPr="00272A71" w:rsidRDefault="009A78B9" w:rsidP="00E07CF6">
      <w:pPr>
        <w:pStyle w:val="Prrafodelista"/>
        <w:spacing w:after="0"/>
        <w:ind w:left="0"/>
        <w:jc w:val="both"/>
        <w:rPr>
          <w:rFonts w:cstheme="minorHAnsi"/>
          <w:color w:val="215868" w:themeColor="accent5" w:themeShade="80"/>
          <w:sz w:val="28"/>
          <w:szCs w:val="28"/>
        </w:rPr>
      </w:pPr>
    </w:p>
    <w:p w:rsidR="00715F4C" w:rsidRPr="00715F4C" w:rsidRDefault="00715F4C" w:rsidP="00E07CF6">
      <w:pPr>
        <w:spacing w:after="0" w:line="240" w:lineRule="auto"/>
        <w:ind w:right="-93"/>
        <w:jc w:val="both"/>
        <w:rPr>
          <w:rFonts w:cstheme="minorHAnsi"/>
          <w:color w:val="215868" w:themeColor="accent5" w:themeShade="80"/>
          <w:sz w:val="28"/>
          <w:szCs w:val="28"/>
        </w:rPr>
      </w:pPr>
      <w:r w:rsidRPr="00715F4C">
        <w:rPr>
          <w:rFonts w:cstheme="minorHAnsi"/>
          <w:color w:val="215868" w:themeColor="accent5" w:themeShade="80"/>
          <w:sz w:val="28"/>
          <w:szCs w:val="28"/>
        </w:rPr>
        <w:t xml:space="preserve">Dado que Unidad Administrativa Especial de Catastro Distrital es una entidad generadora de información predial que se encuentra al día gracias a los procesos de conservación y de actualización catastral anual y como efecto de la calidad y oportunidad de la información predial, así como la experiencia y conocimiento en temas catastrales, la entidad avanzó en fortalecer su capacidad de generar ingresos para llegar a ser una entidad autosuficiente.  </w:t>
      </w:r>
    </w:p>
    <w:p w:rsidR="00715F4C" w:rsidRPr="00715F4C" w:rsidRDefault="00715F4C" w:rsidP="00E07CF6">
      <w:pPr>
        <w:spacing w:after="0" w:line="240" w:lineRule="auto"/>
        <w:ind w:right="850"/>
        <w:jc w:val="both"/>
        <w:rPr>
          <w:rFonts w:cstheme="minorHAnsi"/>
          <w:color w:val="215868" w:themeColor="accent5" w:themeShade="80"/>
          <w:sz w:val="28"/>
          <w:szCs w:val="28"/>
        </w:rPr>
      </w:pPr>
    </w:p>
    <w:p w:rsidR="00715F4C" w:rsidRDefault="00715F4C" w:rsidP="00E07CF6">
      <w:pPr>
        <w:spacing w:after="0" w:line="240" w:lineRule="auto"/>
        <w:ind w:right="-93"/>
        <w:jc w:val="both"/>
        <w:rPr>
          <w:rFonts w:cstheme="minorHAnsi"/>
          <w:color w:val="215868" w:themeColor="accent5" w:themeShade="80"/>
          <w:sz w:val="28"/>
          <w:szCs w:val="28"/>
        </w:rPr>
      </w:pPr>
      <w:r w:rsidRPr="00715F4C">
        <w:rPr>
          <w:rFonts w:cstheme="minorHAnsi"/>
          <w:color w:val="215868" w:themeColor="accent5" w:themeShade="80"/>
          <w:sz w:val="28"/>
          <w:szCs w:val="28"/>
        </w:rPr>
        <w:t xml:space="preserve">Durante </w:t>
      </w:r>
      <w:r>
        <w:rPr>
          <w:rFonts w:cstheme="minorHAnsi"/>
          <w:color w:val="215868" w:themeColor="accent5" w:themeShade="80"/>
          <w:sz w:val="28"/>
          <w:szCs w:val="28"/>
        </w:rPr>
        <w:t>el cuatrienio 2016-2019</w:t>
      </w:r>
      <w:r w:rsidRPr="00715F4C">
        <w:rPr>
          <w:rFonts w:cstheme="minorHAnsi"/>
          <w:color w:val="215868" w:themeColor="accent5" w:themeShade="80"/>
          <w:sz w:val="28"/>
          <w:szCs w:val="28"/>
        </w:rPr>
        <w:t>, la Unidad ha mejorado su capacidad para generar ingresos propios por medio de la venta de productos y servicios; en este sentido, implementó la tienda virtual, firmó contratos con diferentes entidades para la realización de avalúos comerciales y de prestación de servicios, donde la Unidad pone a disposición su experiencia y conocimiento, lo cual le ha permitido obtener en el cuatrienio ingresos por valor de $17.015,7 millones, superando la meta establecida inicialmente.</w:t>
      </w:r>
      <w:r>
        <w:rPr>
          <w:rFonts w:cstheme="minorHAnsi"/>
          <w:color w:val="215868" w:themeColor="accent5" w:themeShade="80"/>
          <w:sz w:val="28"/>
          <w:szCs w:val="28"/>
        </w:rPr>
        <w:t xml:space="preserve"> ($14.000 millones). </w:t>
      </w:r>
    </w:p>
    <w:p w:rsidR="00516916" w:rsidRDefault="00AB41AE" w:rsidP="00715F4C">
      <w:pPr>
        <w:spacing w:after="0" w:line="240" w:lineRule="auto"/>
        <w:ind w:left="-567" w:right="-93"/>
        <w:jc w:val="both"/>
        <w:rPr>
          <w:rFonts w:cstheme="minorHAnsi"/>
          <w:color w:val="215868" w:themeColor="accent5" w:themeShade="80"/>
          <w:sz w:val="28"/>
          <w:szCs w:val="28"/>
        </w:rPr>
      </w:pPr>
      <w:r>
        <w:rPr>
          <w:noProof/>
        </w:rPr>
        <w:drawing>
          <wp:anchor distT="0" distB="0" distL="114300" distR="114300" simplePos="0" relativeHeight="251661312" behindDoc="0" locked="0" layoutInCell="1" allowOverlap="1" wp14:anchorId="19C96886">
            <wp:simplePos x="0" y="0"/>
            <wp:positionH relativeFrom="margin">
              <wp:align>left</wp:align>
            </wp:positionH>
            <wp:positionV relativeFrom="margin">
              <wp:posOffset>4073236</wp:posOffset>
            </wp:positionV>
            <wp:extent cx="5972810" cy="2752090"/>
            <wp:effectExtent l="0" t="0" r="0" b="0"/>
            <wp:wrapSquare wrapText="bothSides"/>
            <wp:docPr id="1518088350" name="Imagen 136031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0318662"/>
                    <pic:cNvPicPr/>
                  </pic:nvPicPr>
                  <pic:blipFill>
                    <a:blip r:embed="rId16">
                      <a:extLst>
                        <a:ext uri="{28A0092B-C50C-407E-A947-70E740481C1C}">
                          <a14:useLocalDpi xmlns:a14="http://schemas.microsoft.com/office/drawing/2010/main" val="0"/>
                        </a:ext>
                      </a:extLst>
                    </a:blip>
                    <a:stretch>
                      <a:fillRect/>
                    </a:stretch>
                  </pic:blipFill>
                  <pic:spPr>
                    <a:xfrm>
                      <a:off x="0" y="0"/>
                      <a:ext cx="5979964" cy="2755777"/>
                    </a:xfrm>
                    <a:prstGeom prst="rect">
                      <a:avLst/>
                    </a:prstGeom>
                  </pic:spPr>
                </pic:pic>
              </a:graphicData>
            </a:graphic>
            <wp14:sizeRelH relativeFrom="margin">
              <wp14:pctWidth>0</wp14:pctWidth>
            </wp14:sizeRelH>
          </wp:anchor>
        </w:drawing>
      </w:r>
    </w:p>
    <w:p w:rsidR="00516916" w:rsidRPr="00AB41AE" w:rsidRDefault="00516916" w:rsidP="00516916">
      <w:pPr>
        <w:spacing w:after="0" w:line="240" w:lineRule="auto"/>
        <w:ind w:right="850"/>
        <w:jc w:val="center"/>
        <w:rPr>
          <w:rFonts w:cstheme="minorHAnsi"/>
          <w:i/>
          <w:color w:val="215868" w:themeColor="accent5" w:themeShade="80"/>
          <w:sz w:val="20"/>
          <w:szCs w:val="20"/>
        </w:rPr>
      </w:pPr>
      <w:bookmarkStart w:id="12" w:name="_Hlk27552543"/>
      <w:r w:rsidRPr="00AB41AE">
        <w:rPr>
          <w:rFonts w:cstheme="minorHAnsi"/>
          <w:i/>
          <w:color w:val="215868" w:themeColor="accent5" w:themeShade="80"/>
          <w:sz w:val="20"/>
          <w:szCs w:val="20"/>
        </w:rPr>
        <w:t>Gráfico. Generación de ingresos 2012 a 2019</w:t>
      </w:r>
    </w:p>
    <w:bookmarkEnd w:id="12"/>
    <w:p w:rsidR="00516916" w:rsidRPr="00AB41AE" w:rsidRDefault="00516916" w:rsidP="00516916">
      <w:pPr>
        <w:spacing w:after="0" w:line="240" w:lineRule="auto"/>
        <w:ind w:right="850"/>
        <w:jc w:val="center"/>
        <w:rPr>
          <w:rFonts w:cstheme="minorHAnsi"/>
          <w:i/>
          <w:color w:val="215868" w:themeColor="accent5" w:themeShade="80"/>
          <w:sz w:val="20"/>
          <w:szCs w:val="20"/>
        </w:rPr>
      </w:pPr>
      <w:r w:rsidRPr="00AB41AE">
        <w:rPr>
          <w:rFonts w:cstheme="minorHAnsi"/>
          <w:i/>
          <w:color w:val="215868" w:themeColor="accent5" w:themeShade="80"/>
          <w:sz w:val="20"/>
          <w:szCs w:val="20"/>
        </w:rPr>
        <w:t>Fuente: Subgerencia Administrativa y Financiera</w:t>
      </w:r>
    </w:p>
    <w:p w:rsidR="00516916" w:rsidRPr="00715F4C" w:rsidRDefault="00516916" w:rsidP="00715F4C">
      <w:pPr>
        <w:spacing w:after="0" w:line="240" w:lineRule="auto"/>
        <w:ind w:left="-567"/>
        <w:jc w:val="both"/>
        <w:rPr>
          <w:rFonts w:cstheme="minorHAnsi"/>
          <w:color w:val="215868" w:themeColor="accent5" w:themeShade="80"/>
          <w:sz w:val="28"/>
          <w:szCs w:val="28"/>
        </w:rPr>
      </w:pPr>
    </w:p>
    <w:p w:rsidR="00715F4C" w:rsidRDefault="00715F4C" w:rsidP="00AB41AE">
      <w:pPr>
        <w:spacing w:after="0" w:line="240" w:lineRule="auto"/>
        <w:jc w:val="both"/>
        <w:rPr>
          <w:rFonts w:cstheme="minorHAnsi"/>
          <w:color w:val="215868" w:themeColor="accent5" w:themeShade="80"/>
          <w:sz w:val="28"/>
          <w:szCs w:val="28"/>
        </w:rPr>
      </w:pPr>
      <w:r w:rsidRPr="00715F4C">
        <w:rPr>
          <w:rFonts w:cstheme="minorHAnsi"/>
          <w:color w:val="215868" w:themeColor="accent5" w:themeShade="80"/>
          <w:sz w:val="28"/>
          <w:szCs w:val="28"/>
        </w:rPr>
        <w:t>Para lograr los resultados esperados,  se fortalecieron las relaciones comerciales con los clientes de la Unidad que venían demandando la elaboración de avalúos comerciales, llegando a suscribir durante el cuatrienio un total de 41 contratos con entidades del orden nacional, territorial y distrital para elaboración de avalúos comerciales, indemnizatorios, de renta y de referencia</w:t>
      </w:r>
      <w:r>
        <w:rPr>
          <w:rFonts w:cstheme="minorHAnsi"/>
          <w:color w:val="215868" w:themeColor="accent5" w:themeShade="80"/>
          <w:sz w:val="28"/>
          <w:szCs w:val="28"/>
        </w:rPr>
        <w:t xml:space="preserve">.  </w:t>
      </w:r>
    </w:p>
    <w:p w:rsidR="00516916" w:rsidRDefault="00516916" w:rsidP="00715F4C">
      <w:pPr>
        <w:spacing w:after="0" w:line="240" w:lineRule="auto"/>
        <w:ind w:left="-567"/>
        <w:jc w:val="both"/>
        <w:rPr>
          <w:rFonts w:cstheme="minorHAnsi"/>
          <w:color w:val="215868" w:themeColor="accent5" w:themeShade="80"/>
          <w:sz w:val="28"/>
          <w:szCs w:val="28"/>
        </w:rPr>
      </w:pPr>
    </w:p>
    <w:p w:rsidR="00516916" w:rsidRPr="00715F4C" w:rsidRDefault="00516916" w:rsidP="00AB41AE">
      <w:pPr>
        <w:spacing w:after="0" w:line="240" w:lineRule="auto"/>
        <w:jc w:val="both"/>
        <w:rPr>
          <w:rFonts w:cstheme="minorHAnsi"/>
          <w:color w:val="215868" w:themeColor="accent5" w:themeShade="80"/>
          <w:sz w:val="28"/>
          <w:szCs w:val="28"/>
        </w:rPr>
      </w:pPr>
      <w:r w:rsidRPr="00516916">
        <w:rPr>
          <w:rFonts w:cstheme="minorHAnsi"/>
          <w:color w:val="215868" w:themeColor="accent5" w:themeShade="80"/>
          <w:sz w:val="28"/>
          <w:szCs w:val="28"/>
        </w:rPr>
        <w:t>Otra de las acciones emprendidas por la Unidad para el cumplimiento de la meta de ingresos, corresponde a la línea de servicio de apoyo técnico, asesoría y analítica, donde la entidad pone al servicio su experiencia y conocimiento en trabajos de campo para recolección de información y en  Infraestructuras de Datos Espaciales, lo que ha representado beneficios no solo económicos para la Unidad sino para las entidades del orden distrital, regional y nacional con las cuales se  suscribieron un total de 12 contratos</w:t>
      </w:r>
    </w:p>
    <w:p w:rsidR="00E67199" w:rsidRPr="00F73D50" w:rsidRDefault="00E67199" w:rsidP="00F73D50">
      <w:pPr>
        <w:spacing w:after="0"/>
        <w:jc w:val="both"/>
        <w:rPr>
          <w:rFonts w:cstheme="minorHAnsi"/>
          <w:color w:val="215868" w:themeColor="accent5" w:themeShade="80"/>
          <w:sz w:val="28"/>
          <w:szCs w:val="28"/>
        </w:rPr>
      </w:pPr>
    </w:p>
    <w:p w:rsidR="000814BD" w:rsidRPr="006C3CAF" w:rsidRDefault="000814BD" w:rsidP="009E2852">
      <w:pPr>
        <w:pStyle w:val="Prrafodelista"/>
        <w:numPr>
          <w:ilvl w:val="2"/>
          <w:numId w:val="4"/>
        </w:numPr>
        <w:spacing w:after="0"/>
        <w:ind w:left="709"/>
        <w:jc w:val="both"/>
        <w:rPr>
          <w:rFonts w:cstheme="minorHAnsi"/>
          <w:b/>
          <w:color w:val="215868" w:themeColor="accent5" w:themeShade="80"/>
          <w:sz w:val="28"/>
          <w:szCs w:val="28"/>
        </w:rPr>
      </w:pPr>
      <w:r w:rsidRPr="006C3CAF">
        <w:rPr>
          <w:rFonts w:cstheme="minorHAnsi"/>
          <w:b/>
          <w:color w:val="215868" w:themeColor="accent5" w:themeShade="80"/>
          <w:sz w:val="28"/>
          <w:szCs w:val="28"/>
        </w:rPr>
        <w:t>Catastro Bogotá comparte su experiencia contribuyendo en la implementación del catastro nacional con enfoque multipropósito.</w:t>
      </w:r>
    </w:p>
    <w:p w:rsidR="00660EE8" w:rsidRPr="00272A71" w:rsidRDefault="00660EE8" w:rsidP="00D4006F">
      <w:pPr>
        <w:pStyle w:val="Prrafodelista"/>
        <w:spacing w:after="0"/>
        <w:ind w:left="-567"/>
        <w:jc w:val="both"/>
        <w:rPr>
          <w:rFonts w:cstheme="minorHAnsi"/>
          <w:color w:val="215868" w:themeColor="accent5" w:themeShade="80"/>
          <w:sz w:val="28"/>
          <w:szCs w:val="28"/>
        </w:rPr>
      </w:pPr>
    </w:p>
    <w:p w:rsidR="00660EE8" w:rsidRDefault="00660EE8" w:rsidP="00AB41AE">
      <w:pPr>
        <w:pStyle w:val="Prrafodelista"/>
        <w:spacing w:after="0"/>
        <w:ind w:left="0"/>
        <w:jc w:val="both"/>
        <w:rPr>
          <w:rFonts w:cstheme="minorHAnsi"/>
          <w:color w:val="215868" w:themeColor="accent5" w:themeShade="80"/>
          <w:sz w:val="28"/>
          <w:szCs w:val="28"/>
        </w:rPr>
      </w:pPr>
      <w:r w:rsidRPr="00272A71">
        <w:rPr>
          <w:rFonts w:cstheme="minorHAnsi"/>
          <w:color w:val="215868" w:themeColor="accent5" w:themeShade="80"/>
          <w:sz w:val="28"/>
          <w:szCs w:val="28"/>
        </w:rPr>
        <w:t>Este componente de inversión le aporta al cumplimiento de la meta denominada “Compartir con 10 entes territoriales e instituciones el conocimiento y capacidad de catastro para capturar, integrar y disponer información.”, la cual tuvo un cumplimiento del 1</w:t>
      </w:r>
      <w:r w:rsidR="00CF2707">
        <w:rPr>
          <w:rFonts w:cstheme="minorHAnsi"/>
          <w:color w:val="215868" w:themeColor="accent5" w:themeShade="80"/>
          <w:sz w:val="28"/>
          <w:szCs w:val="28"/>
        </w:rPr>
        <w:t>0</w:t>
      </w:r>
      <w:r w:rsidRPr="00272A71">
        <w:rPr>
          <w:rFonts w:cstheme="minorHAnsi"/>
          <w:color w:val="215868" w:themeColor="accent5" w:themeShade="80"/>
          <w:sz w:val="28"/>
          <w:szCs w:val="28"/>
        </w:rPr>
        <w:t>0%, gracias a</w:t>
      </w:r>
      <w:r w:rsidR="006C3CAF">
        <w:rPr>
          <w:rFonts w:cstheme="minorHAnsi"/>
          <w:color w:val="215868" w:themeColor="accent5" w:themeShade="80"/>
          <w:sz w:val="28"/>
          <w:szCs w:val="28"/>
        </w:rPr>
        <w:t xml:space="preserve">: </w:t>
      </w:r>
    </w:p>
    <w:p w:rsidR="00CF2707" w:rsidRDefault="00CF2707" w:rsidP="00D4006F">
      <w:pPr>
        <w:pStyle w:val="Prrafodelista"/>
        <w:spacing w:after="0"/>
        <w:ind w:left="-567"/>
        <w:jc w:val="both"/>
        <w:rPr>
          <w:rFonts w:cstheme="minorHAnsi"/>
          <w:color w:val="215868" w:themeColor="accent5" w:themeShade="80"/>
          <w:sz w:val="28"/>
          <w:szCs w:val="28"/>
        </w:rPr>
      </w:pPr>
    </w:p>
    <w:p w:rsidR="00CF2707" w:rsidRPr="00CF2707" w:rsidRDefault="00CF2707" w:rsidP="009E2852">
      <w:pPr>
        <w:pStyle w:val="Prrafodelista"/>
        <w:numPr>
          <w:ilvl w:val="0"/>
          <w:numId w:val="24"/>
        </w:numPr>
        <w:spacing w:after="0"/>
        <w:jc w:val="both"/>
        <w:rPr>
          <w:rFonts w:cstheme="minorHAnsi"/>
          <w:b/>
          <w:color w:val="215868" w:themeColor="accent5" w:themeShade="80"/>
          <w:sz w:val="28"/>
          <w:szCs w:val="28"/>
        </w:rPr>
      </w:pPr>
      <w:r>
        <w:rPr>
          <w:rFonts w:cstheme="minorHAnsi"/>
          <w:b/>
          <w:color w:val="215868" w:themeColor="accent5" w:themeShade="80"/>
          <w:sz w:val="28"/>
          <w:szCs w:val="28"/>
        </w:rPr>
        <w:t xml:space="preserve">IDE Regional </w:t>
      </w:r>
    </w:p>
    <w:p w:rsidR="006C3CAF" w:rsidRDefault="006C3CAF" w:rsidP="00AB41AE">
      <w:pPr>
        <w:pStyle w:val="Prrafodelista"/>
        <w:spacing w:after="0"/>
        <w:ind w:left="284"/>
        <w:jc w:val="both"/>
        <w:rPr>
          <w:rFonts w:cstheme="minorHAnsi"/>
          <w:color w:val="215868" w:themeColor="accent5" w:themeShade="80"/>
          <w:sz w:val="28"/>
          <w:szCs w:val="28"/>
        </w:rPr>
      </w:pPr>
    </w:p>
    <w:p w:rsidR="00CF2707" w:rsidRPr="00CF2707" w:rsidRDefault="00CF2707" w:rsidP="00AB41AE">
      <w:pPr>
        <w:pStyle w:val="Prrafodelista"/>
        <w:spacing w:after="0"/>
        <w:ind w:left="0"/>
        <w:jc w:val="both"/>
        <w:rPr>
          <w:rFonts w:cstheme="minorHAnsi"/>
          <w:color w:val="215868" w:themeColor="accent5" w:themeShade="80"/>
          <w:sz w:val="28"/>
          <w:szCs w:val="28"/>
        </w:rPr>
      </w:pPr>
      <w:r w:rsidRPr="00CF2707">
        <w:rPr>
          <w:rFonts w:cstheme="minorHAnsi"/>
          <w:color w:val="215868" w:themeColor="accent5" w:themeShade="80"/>
          <w:sz w:val="28"/>
          <w:szCs w:val="28"/>
        </w:rPr>
        <w:t xml:space="preserve">Se adelantaron esfuerzos para el desarrollo de una Infraestructura de Datos Espaciales Regional –IDE Regional para recopilar y utilizar información geográfica para la toma de decisiones en temas de interés general como el ordenamiento territorial, la movilidad, el emprendimiento, los servicios públicos y las políticas públicas, que busca beneficiar a los municipios de Bojacá, Cajicá, Cáqueza, Chía, Choachí, Chocontá, Cogua, Cota, El Rosal, Facatativá, Funza, Fusagasugá, Gachancipá, Gachetá, Girardot, Guaduas, Guatavita, La Calera, La Mesa, Madrid, Medina, Mosquera, Nemocón, Pacho, San Juan de Rioseco, Sesquilé, Sibaté, Soacha, Sopó, Subachoque, Sutatausa, Tabio, Tausa, Tenjo, Tocancipá, Ubaté, Villeta, Zipaquirá y Bogotá D. C. </w:t>
      </w:r>
    </w:p>
    <w:p w:rsidR="00AB41AE" w:rsidRDefault="00AB41AE">
      <w:pPr>
        <w:rPr>
          <w:rFonts w:cstheme="minorHAnsi"/>
          <w:color w:val="215868" w:themeColor="accent5" w:themeShade="80"/>
          <w:sz w:val="28"/>
          <w:szCs w:val="28"/>
        </w:rPr>
      </w:pPr>
      <w:r>
        <w:rPr>
          <w:rFonts w:cstheme="minorHAnsi"/>
          <w:color w:val="215868" w:themeColor="accent5" w:themeShade="80"/>
          <w:sz w:val="28"/>
          <w:szCs w:val="28"/>
        </w:rPr>
        <w:br w:type="page"/>
      </w:r>
    </w:p>
    <w:p w:rsidR="00CF2707" w:rsidRDefault="00CF2707" w:rsidP="00AB41AE">
      <w:pPr>
        <w:pStyle w:val="Prrafodelista"/>
        <w:spacing w:after="0"/>
        <w:ind w:left="284"/>
        <w:jc w:val="both"/>
        <w:rPr>
          <w:rFonts w:cstheme="minorHAnsi"/>
          <w:color w:val="215868" w:themeColor="accent5" w:themeShade="80"/>
          <w:sz w:val="28"/>
          <w:szCs w:val="28"/>
        </w:rPr>
      </w:pPr>
    </w:p>
    <w:p w:rsidR="00CF2707" w:rsidRPr="00CF2707" w:rsidRDefault="00CF2707" w:rsidP="009E2852">
      <w:pPr>
        <w:pStyle w:val="Prrafodelista"/>
        <w:numPr>
          <w:ilvl w:val="0"/>
          <w:numId w:val="7"/>
        </w:numPr>
        <w:spacing w:after="0"/>
        <w:ind w:left="284"/>
        <w:jc w:val="both"/>
        <w:rPr>
          <w:rFonts w:cstheme="minorHAnsi"/>
          <w:b/>
          <w:color w:val="215868" w:themeColor="accent5" w:themeShade="80"/>
          <w:sz w:val="28"/>
          <w:szCs w:val="28"/>
        </w:rPr>
      </w:pPr>
      <w:r w:rsidRPr="00CF2707">
        <w:rPr>
          <w:rFonts w:cstheme="minorHAnsi"/>
          <w:b/>
          <w:color w:val="215868" w:themeColor="accent5" w:themeShade="80"/>
          <w:sz w:val="28"/>
          <w:szCs w:val="28"/>
        </w:rPr>
        <w:t>Captura equipamientos comunales en propiedad horizontal</w:t>
      </w:r>
    </w:p>
    <w:p w:rsidR="00CF2707" w:rsidRPr="00CF2707" w:rsidRDefault="00CF2707" w:rsidP="00D4006F">
      <w:pPr>
        <w:pStyle w:val="Prrafodelista"/>
        <w:spacing w:after="0"/>
        <w:ind w:left="-567"/>
        <w:jc w:val="both"/>
        <w:rPr>
          <w:rFonts w:cstheme="minorHAnsi"/>
          <w:color w:val="215868" w:themeColor="accent5" w:themeShade="80"/>
          <w:sz w:val="28"/>
          <w:szCs w:val="28"/>
        </w:rPr>
      </w:pPr>
    </w:p>
    <w:p w:rsidR="00CF2707" w:rsidRPr="00CF2707" w:rsidRDefault="00CF2707" w:rsidP="00AB41AE">
      <w:pPr>
        <w:pStyle w:val="Prrafodelista"/>
        <w:spacing w:after="0"/>
        <w:ind w:left="0"/>
        <w:jc w:val="both"/>
        <w:rPr>
          <w:rFonts w:cstheme="minorHAnsi"/>
          <w:color w:val="215868" w:themeColor="accent5" w:themeShade="80"/>
          <w:sz w:val="28"/>
          <w:szCs w:val="28"/>
        </w:rPr>
      </w:pPr>
      <w:r w:rsidRPr="00CF2707">
        <w:rPr>
          <w:rFonts w:cstheme="minorHAnsi"/>
          <w:color w:val="215868" w:themeColor="accent5" w:themeShade="80"/>
          <w:sz w:val="28"/>
          <w:szCs w:val="28"/>
        </w:rPr>
        <w:t xml:space="preserve">Se suscribió el contrato interadministrativo 132 de 2018 con la Secretaría Distrital de Planeación, cuyo objeto es “Recolectar la información de equipamientos comunales de una muestra de lotes en propiedad horizontal, hasta con 10 unidades habitacionales, como insumo del ajuste de la propuesta metodológica de estratificación socioeconómica urbana de Bogotá D.C”., realizando el levantamiento de información de 14.268 predios, de acuerdo a las variables definidas, su consolidación y respectivo análisis estadístico. </w:t>
      </w:r>
    </w:p>
    <w:p w:rsidR="00CF2707" w:rsidRDefault="00CF2707" w:rsidP="00D4006F">
      <w:pPr>
        <w:pStyle w:val="Prrafodelista"/>
        <w:spacing w:after="0"/>
        <w:ind w:left="-567"/>
        <w:jc w:val="both"/>
        <w:rPr>
          <w:rFonts w:cstheme="minorHAnsi"/>
          <w:color w:val="215868" w:themeColor="accent5" w:themeShade="80"/>
          <w:sz w:val="28"/>
          <w:szCs w:val="28"/>
        </w:rPr>
      </w:pPr>
    </w:p>
    <w:p w:rsidR="007A581C" w:rsidRPr="00CF2707" w:rsidRDefault="007A581C" w:rsidP="009E2852">
      <w:pPr>
        <w:pStyle w:val="Prrafodelista"/>
        <w:numPr>
          <w:ilvl w:val="0"/>
          <w:numId w:val="7"/>
        </w:numPr>
        <w:spacing w:after="0"/>
        <w:ind w:left="426" w:hanging="426"/>
        <w:jc w:val="both"/>
        <w:rPr>
          <w:rFonts w:cstheme="minorHAnsi"/>
          <w:b/>
          <w:color w:val="215868" w:themeColor="accent5" w:themeShade="80"/>
          <w:sz w:val="28"/>
          <w:szCs w:val="28"/>
        </w:rPr>
      </w:pPr>
      <w:r>
        <w:rPr>
          <w:rFonts w:cstheme="minorHAnsi"/>
          <w:b/>
          <w:color w:val="215868" w:themeColor="accent5" w:themeShade="80"/>
          <w:sz w:val="28"/>
          <w:szCs w:val="28"/>
        </w:rPr>
        <w:t xml:space="preserve">Avalúos comerciales </w:t>
      </w:r>
    </w:p>
    <w:p w:rsidR="007A581C" w:rsidRPr="00CF2707" w:rsidRDefault="007A581C" w:rsidP="00D4006F">
      <w:pPr>
        <w:pStyle w:val="Prrafodelista"/>
        <w:spacing w:after="0"/>
        <w:ind w:left="-567"/>
        <w:jc w:val="both"/>
        <w:rPr>
          <w:rFonts w:cstheme="minorHAnsi"/>
          <w:color w:val="215868" w:themeColor="accent5" w:themeShade="80"/>
          <w:sz w:val="28"/>
          <w:szCs w:val="28"/>
        </w:rPr>
      </w:pPr>
    </w:p>
    <w:p w:rsidR="00CF2707" w:rsidRPr="00CF2707" w:rsidRDefault="00CF2707" w:rsidP="00AB41AE">
      <w:pPr>
        <w:pStyle w:val="Prrafodelista"/>
        <w:spacing w:after="0"/>
        <w:ind w:left="0"/>
        <w:jc w:val="both"/>
        <w:rPr>
          <w:rFonts w:cstheme="minorHAnsi"/>
          <w:color w:val="215868" w:themeColor="accent5" w:themeShade="80"/>
          <w:sz w:val="28"/>
          <w:szCs w:val="28"/>
        </w:rPr>
      </w:pPr>
      <w:r w:rsidRPr="00CF2707">
        <w:rPr>
          <w:rFonts w:cstheme="minorHAnsi"/>
          <w:color w:val="215868" w:themeColor="accent5" w:themeShade="80"/>
          <w:sz w:val="28"/>
          <w:szCs w:val="28"/>
        </w:rPr>
        <w:t>Durante el año 201</w:t>
      </w:r>
      <w:r w:rsidR="00516916">
        <w:rPr>
          <w:rFonts w:cstheme="minorHAnsi"/>
          <w:color w:val="215868" w:themeColor="accent5" w:themeShade="80"/>
          <w:sz w:val="28"/>
          <w:szCs w:val="28"/>
        </w:rPr>
        <w:t>9</w:t>
      </w:r>
      <w:r w:rsidRPr="00CF2707">
        <w:rPr>
          <w:rFonts w:cstheme="minorHAnsi"/>
          <w:color w:val="215868" w:themeColor="accent5" w:themeShade="80"/>
          <w:sz w:val="28"/>
          <w:szCs w:val="28"/>
        </w:rPr>
        <w:t xml:space="preserve">, se gestionaron </w:t>
      </w:r>
      <w:r w:rsidR="00516916">
        <w:rPr>
          <w:rFonts w:cstheme="minorHAnsi"/>
          <w:color w:val="215868" w:themeColor="accent5" w:themeShade="80"/>
          <w:sz w:val="28"/>
          <w:szCs w:val="28"/>
        </w:rPr>
        <w:t>6.604</w:t>
      </w:r>
      <w:r w:rsidRPr="00CF2707">
        <w:rPr>
          <w:rFonts w:cstheme="minorHAnsi"/>
          <w:color w:val="215868" w:themeColor="accent5" w:themeShade="80"/>
          <w:sz w:val="28"/>
          <w:szCs w:val="28"/>
        </w:rPr>
        <w:t xml:space="preserve"> avalúos </w:t>
      </w:r>
      <w:r w:rsidR="00516916">
        <w:rPr>
          <w:rFonts w:cstheme="minorHAnsi"/>
          <w:color w:val="215868" w:themeColor="accent5" w:themeShade="80"/>
          <w:sz w:val="28"/>
          <w:szCs w:val="28"/>
        </w:rPr>
        <w:t xml:space="preserve">comerciales </w:t>
      </w:r>
      <w:r w:rsidRPr="00CF2707">
        <w:rPr>
          <w:rFonts w:cstheme="minorHAnsi"/>
          <w:color w:val="215868" w:themeColor="accent5" w:themeShade="80"/>
          <w:sz w:val="28"/>
          <w:szCs w:val="28"/>
        </w:rPr>
        <w:t>para entidades que solicitaron el servicio, en desarrollo de sus proyectos, donde de las solicitudes recibidas se concentran en tres (3) Entidades como son: el Instituto de Desarrollo Urbano, la Empresa de Renovación y Desarrollo Urbano y la Empresa de Acueducto y Alcantarillado de Bogotá</w:t>
      </w:r>
      <w:r w:rsidR="00516916">
        <w:rPr>
          <w:rFonts w:cstheme="minorHAnsi"/>
          <w:color w:val="215868" w:themeColor="accent5" w:themeShade="80"/>
          <w:sz w:val="28"/>
          <w:szCs w:val="28"/>
        </w:rPr>
        <w:t xml:space="preserve">, </w:t>
      </w:r>
      <w:r w:rsidRPr="00CF2707">
        <w:rPr>
          <w:rFonts w:cstheme="minorHAnsi"/>
          <w:color w:val="215868" w:themeColor="accent5" w:themeShade="80"/>
          <w:sz w:val="28"/>
          <w:szCs w:val="28"/>
        </w:rPr>
        <w:t>que tienen bajo su responsabilidad realizar la gestión inmobiliaria para la ejecución de proyectos de alto impacto para la ciudad, tales como la Troncal Séptima y la Primera Línea del Metro, Avenida Centenario, el Plan Parcial de Renovación Urbana San Bernardo y el Proyecto integral de renovación urbana Voto Nacional-La Estanzuela,  zonas de manejo y protección ambiental, entre otros; siendo la UAECD un aliado estratégico para el cumplimiento del Plan de Desarrollo “Bogotá Mejor para Todos”.</w:t>
      </w:r>
    </w:p>
    <w:p w:rsidR="00CF2707" w:rsidRPr="00CF2707" w:rsidRDefault="00CF2707" w:rsidP="00AB41AE">
      <w:pPr>
        <w:pStyle w:val="Prrafodelista"/>
        <w:spacing w:after="0"/>
        <w:ind w:left="0"/>
        <w:jc w:val="both"/>
        <w:rPr>
          <w:rFonts w:cstheme="minorHAnsi"/>
          <w:color w:val="215868" w:themeColor="accent5" w:themeShade="80"/>
          <w:sz w:val="28"/>
          <w:szCs w:val="28"/>
        </w:rPr>
      </w:pPr>
    </w:p>
    <w:p w:rsidR="00CF2707" w:rsidRDefault="00CF2707" w:rsidP="00AB41AE">
      <w:pPr>
        <w:pStyle w:val="Prrafodelista"/>
        <w:spacing w:after="0"/>
        <w:ind w:left="0"/>
        <w:jc w:val="both"/>
        <w:rPr>
          <w:rFonts w:cstheme="minorHAnsi"/>
          <w:color w:val="215868" w:themeColor="accent5" w:themeShade="80"/>
          <w:sz w:val="28"/>
          <w:szCs w:val="28"/>
        </w:rPr>
      </w:pPr>
      <w:r w:rsidRPr="00CF2707">
        <w:rPr>
          <w:rFonts w:cstheme="minorHAnsi"/>
          <w:color w:val="215868" w:themeColor="accent5" w:themeShade="80"/>
          <w:sz w:val="28"/>
          <w:szCs w:val="28"/>
        </w:rPr>
        <w:t xml:space="preserve">Los resultados obtenidos a través de esta gestión han permitido compartir el conocimiento, experticia y capacidad técnica en materia catastral al servicio público de las demás entidades y entes territoriales, y a su vez fortalecer las finanzas de la Unidad.  Así mismo, permitirá la recopilación, </w:t>
      </w:r>
      <w:proofErr w:type="spellStart"/>
      <w:r w:rsidRPr="00CF2707">
        <w:rPr>
          <w:rFonts w:cstheme="minorHAnsi"/>
          <w:color w:val="215868" w:themeColor="accent5" w:themeShade="80"/>
          <w:sz w:val="28"/>
          <w:szCs w:val="28"/>
        </w:rPr>
        <w:t>georeferenciación</w:t>
      </w:r>
      <w:proofErr w:type="spellEnd"/>
      <w:r w:rsidRPr="00CF2707">
        <w:rPr>
          <w:rFonts w:cstheme="minorHAnsi"/>
          <w:color w:val="215868" w:themeColor="accent5" w:themeShade="80"/>
          <w:sz w:val="28"/>
          <w:szCs w:val="28"/>
        </w:rPr>
        <w:t xml:space="preserve"> y utilización de información vital para la toma de decisiones en temas de interés general como el ordenamiento territorial, la movilidad, el emprendimiento, los servicios públicos y las políticas públicas.</w:t>
      </w:r>
    </w:p>
    <w:p w:rsidR="00CF2707" w:rsidRDefault="00CF2707" w:rsidP="00D4006F">
      <w:pPr>
        <w:pStyle w:val="Prrafodelista"/>
        <w:spacing w:after="0"/>
        <w:ind w:left="-567"/>
        <w:jc w:val="both"/>
        <w:rPr>
          <w:rFonts w:cstheme="minorHAnsi"/>
          <w:color w:val="215868" w:themeColor="accent5" w:themeShade="80"/>
          <w:sz w:val="28"/>
          <w:szCs w:val="28"/>
        </w:rPr>
      </w:pPr>
    </w:p>
    <w:p w:rsidR="004B4F73" w:rsidRPr="0049356C" w:rsidRDefault="00E80164" w:rsidP="009E2852">
      <w:pPr>
        <w:pStyle w:val="Prrafodelista"/>
        <w:numPr>
          <w:ilvl w:val="1"/>
          <w:numId w:val="4"/>
        </w:numPr>
        <w:spacing w:after="0"/>
        <w:ind w:left="709"/>
        <w:jc w:val="both"/>
        <w:rPr>
          <w:rFonts w:cstheme="minorHAnsi"/>
          <w:b/>
          <w:color w:val="215868" w:themeColor="accent5" w:themeShade="80"/>
          <w:sz w:val="28"/>
          <w:szCs w:val="28"/>
          <w:u w:val="single"/>
        </w:rPr>
      </w:pPr>
      <w:r w:rsidRPr="0049356C">
        <w:rPr>
          <w:rFonts w:cstheme="minorHAnsi"/>
          <w:b/>
          <w:color w:val="215868" w:themeColor="accent5" w:themeShade="80"/>
          <w:sz w:val="28"/>
          <w:szCs w:val="28"/>
          <w:u w:val="single"/>
        </w:rPr>
        <w:t>PROYECTO DE INVERSIÓN 1180: AFIANZAR UNA GESTIÓN PÚBLICA EFECTIVA:</w:t>
      </w:r>
    </w:p>
    <w:p w:rsidR="0054754B" w:rsidRDefault="0054754B" w:rsidP="0054754B">
      <w:pPr>
        <w:spacing w:after="0"/>
        <w:ind w:left="-567"/>
        <w:jc w:val="both"/>
        <w:rPr>
          <w:rFonts w:cstheme="minorHAnsi"/>
          <w:color w:val="215868" w:themeColor="accent5" w:themeShade="80"/>
          <w:sz w:val="28"/>
          <w:szCs w:val="28"/>
        </w:rPr>
      </w:pPr>
    </w:p>
    <w:p w:rsidR="00B3457B" w:rsidRDefault="004B4F73" w:rsidP="00AB41AE">
      <w:pPr>
        <w:spacing w:after="0"/>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La gestión desarrollada por la entidad a través de la ejecución de este </w:t>
      </w:r>
      <w:r w:rsidR="004B5610" w:rsidRPr="00272A71">
        <w:rPr>
          <w:rFonts w:cstheme="minorHAnsi"/>
          <w:color w:val="215868" w:themeColor="accent5" w:themeShade="80"/>
          <w:sz w:val="28"/>
          <w:szCs w:val="28"/>
        </w:rPr>
        <w:t>proyecto</w:t>
      </w:r>
      <w:r w:rsidRPr="00272A71">
        <w:rPr>
          <w:rFonts w:cstheme="minorHAnsi"/>
          <w:color w:val="215868" w:themeColor="accent5" w:themeShade="80"/>
          <w:sz w:val="28"/>
          <w:szCs w:val="28"/>
        </w:rPr>
        <w:t xml:space="preserve"> se relaciona </w:t>
      </w:r>
      <w:r w:rsidR="00F663F7" w:rsidRPr="00272A71">
        <w:rPr>
          <w:rFonts w:cstheme="minorHAnsi"/>
          <w:color w:val="215868" w:themeColor="accent5" w:themeShade="80"/>
          <w:sz w:val="28"/>
          <w:szCs w:val="28"/>
        </w:rPr>
        <w:t>a continuación</w:t>
      </w:r>
      <w:r w:rsidRPr="00272A71">
        <w:rPr>
          <w:rFonts w:cstheme="minorHAnsi"/>
          <w:color w:val="215868" w:themeColor="accent5" w:themeShade="80"/>
          <w:sz w:val="28"/>
          <w:szCs w:val="28"/>
        </w:rPr>
        <w:t>:</w:t>
      </w:r>
    </w:p>
    <w:p w:rsidR="0054754B" w:rsidRDefault="0054754B" w:rsidP="0054754B">
      <w:pPr>
        <w:spacing w:after="0"/>
        <w:ind w:left="-567"/>
        <w:jc w:val="both"/>
        <w:rPr>
          <w:rFonts w:cstheme="minorHAnsi"/>
          <w:color w:val="215868" w:themeColor="accent5" w:themeShade="80"/>
          <w:sz w:val="28"/>
          <w:szCs w:val="28"/>
        </w:rPr>
      </w:pPr>
    </w:p>
    <w:p w:rsidR="00D4006F" w:rsidRDefault="00B3457B" w:rsidP="009E2852">
      <w:pPr>
        <w:pStyle w:val="Prrafodelista"/>
        <w:numPr>
          <w:ilvl w:val="2"/>
          <w:numId w:val="4"/>
        </w:numPr>
        <w:spacing w:after="0"/>
        <w:ind w:left="709"/>
        <w:jc w:val="both"/>
        <w:rPr>
          <w:rFonts w:cstheme="minorHAnsi"/>
          <w:b/>
          <w:color w:val="215868" w:themeColor="accent5" w:themeShade="80"/>
          <w:sz w:val="28"/>
          <w:szCs w:val="28"/>
        </w:rPr>
      </w:pPr>
      <w:r w:rsidRPr="0049356C">
        <w:rPr>
          <w:rFonts w:cstheme="minorHAnsi"/>
          <w:b/>
          <w:color w:val="215868" w:themeColor="accent5" w:themeShade="80"/>
          <w:sz w:val="28"/>
          <w:szCs w:val="28"/>
        </w:rPr>
        <w:t>C</w:t>
      </w:r>
      <w:r w:rsidR="004B5610" w:rsidRPr="0049356C">
        <w:rPr>
          <w:rFonts w:cstheme="minorHAnsi"/>
          <w:b/>
          <w:color w:val="215868" w:themeColor="accent5" w:themeShade="80"/>
          <w:sz w:val="28"/>
          <w:szCs w:val="28"/>
        </w:rPr>
        <w:t>omponente de Gestión integral y mejoramiento de procesos: Este componente involucra las siguientes metas:</w:t>
      </w:r>
    </w:p>
    <w:p w:rsidR="0054754B" w:rsidRDefault="0054754B" w:rsidP="0054754B">
      <w:pPr>
        <w:pStyle w:val="Prrafodelista"/>
        <w:spacing w:after="0"/>
        <w:ind w:left="153"/>
        <w:jc w:val="both"/>
        <w:rPr>
          <w:rFonts w:cstheme="minorHAnsi"/>
          <w:b/>
          <w:color w:val="215868" w:themeColor="accent5" w:themeShade="80"/>
          <w:sz w:val="28"/>
          <w:szCs w:val="28"/>
        </w:rPr>
      </w:pPr>
    </w:p>
    <w:p w:rsidR="0054754B" w:rsidRDefault="004B5610" w:rsidP="009E2852">
      <w:pPr>
        <w:pStyle w:val="Prrafodelista"/>
        <w:numPr>
          <w:ilvl w:val="0"/>
          <w:numId w:val="25"/>
        </w:numPr>
        <w:spacing w:after="0"/>
        <w:ind w:left="567" w:hanging="567"/>
        <w:jc w:val="both"/>
        <w:rPr>
          <w:rFonts w:cstheme="minorHAnsi"/>
          <w:b/>
          <w:color w:val="215868" w:themeColor="accent5" w:themeShade="80"/>
          <w:sz w:val="28"/>
          <w:szCs w:val="28"/>
        </w:rPr>
      </w:pPr>
      <w:r w:rsidRPr="0054754B">
        <w:rPr>
          <w:rFonts w:cstheme="minorHAnsi"/>
          <w:b/>
          <w:color w:val="215868" w:themeColor="accent5" w:themeShade="80"/>
          <w:sz w:val="28"/>
          <w:szCs w:val="28"/>
        </w:rPr>
        <w:t>Implementar un (1) Esquema de Comunicación con grupos de interés</w:t>
      </w:r>
    </w:p>
    <w:p w:rsidR="0054754B" w:rsidRDefault="0054754B" w:rsidP="0054754B">
      <w:pPr>
        <w:spacing w:after="0"/>
        <w:ind w:left="-502"/>
        <w:jc w:val="both"/>
        <w:rPr>
          <w:rFonts w:cstheme="minorHAnsi"/>
          <w:color w:val="215868" w:themeColor="accent5" w:themeShade="80"/>
          <w:sz w:val="28"/>
          <w:szCs w:val="28"/>
        </w:rPr>
      </w:pPr>
    </w:p>
    <w:p w:rsidR="00516916" w:rsidRDefault="00516916" w:rsidP="00AB41AE">
      <w:pPr>
        <w:spacing w:after="0"/>
        <w:jc w:val="both"/>
        <w:rPr>
          <w:rFonts w:cstheme="minorHAnsi"/>
          <w:color w:val="215868" w:themeColor="accent5" w:themeShade="80"/>
          <w:sz w:val="28"/>
          <w:szCs w:val="28"/>
        </w:rPr>
      </w:pPr>
      <w:r w:rsidRPr="00516916">
        <w:rPr>
          <w:rFonts w:cstheme="minorHAnsi"/>
          <w:color w:val="215868" w:themeColor="accent5" w:themeShade="80"/>
          <w:sz w:val="28"/>
          <w:szCs w:val="28"/>
        </w:rPr>
        <w:t>Durante el cuatrienio y de manera anual se generaron esquemas de comunicación en la Unidad</w:t>
      </w:r>
      <w:r>
        <w:rPr>
          <w:rFonts w:cstheme="minorHAnsi"/>
          <w:color w:val="215868" w:themeColor="accent5" w:themeShade="80"/>
          <w:sz w:val="28"/>
          <w:szCs w:val="28"/>
        </w:rPr>
        <w:t xml:space="preserve"> </w:t>
      </w:r>
      <w:r w:rsidRPr="00516916">
        <w:rPr>
          <w:rFonts w:cstheme="minorHAnsi"/>
          <w:color w:val="215868" w:themeColor="accent5" w:themeShade="80"/>
          <w:sz w:val="28"/>
          <w:szCs w:val="28"/>
        </w:rPr>
        <w:t>que permiten de manera interna la socialización de los aspectos relacionados con la cultura institucional, la identidad corporativa y el fortalecimiento del conocimiento; es así como se promovió la participación de los servidores en las actividades orientadas a ellos en el marco de</w:t>
      </w:r>
      <w:r>
        <w:rPr>
          <w:rFonts w:cstheme="minorHAnsi"/>
          <w:color w:val="215868" w:themeColor="accent5" w:themeShade="80"/>
          <w:sz w:val="28"/>
          <w:szCs w:val="28"/>
        </w:rPr>
        <w:t xml:space="preserve"> </w:t>
      </w:r>
      <w:r w:rsidRPr="00516916">
        <w:rPr>
          <w:rFonts w:cstheme="minorHAnsi"/>
          <w:color w:val="215868" w:themeColor="accent5" w:themeShade="80"/>
          <w:sz w:val="28"/>
          <w:szCs w:val="28"/>
        </w:rPr>
        <w:t xml:space="preserve">los objetivos estratégicos y valores de la Entidad  </w:t>
      </w:r>
    </w:p>
    <w:p w:rsidR="00516916" w:rsidRDefault="00516916" w:rsidP="00AB41AE">
      <w:pPr>
        <w:spacing w:after="0"/>
        <w:jc w:val="both"/>
        <w:rPr>
          <w:rFonts w:cstheme="minorHAnsi"/>
          <w:color w:val="215868" w:themeColor="accent5" w:themeShade="80"/>
          <w:sz w:val="28"/>
          <w:szCs w:val="28"/>
        </w:rPr>
      </w:pPr>
    </w:p>
    <w:p w:rsidR="00516916" w:rsidRDefault="00516916" w:rsidP="00AB41AE">
      <w:pPr>
        <w:spacing w:after="0"/>
        <w:jc w:val="both"/>
        <w:rPr>
          <w:rFonts w:cstheme="minorHAnsi"/>
          <w:color w:val="215868" w:themeColor="accent5" w:themeShade="80"/>
          <w:sz w:val="28"/>
          <w:szCs w:val="28"/>
        </w:rPr>
      </w:pPr>
      <w:r w:rsidRPr="00516916">
        <w:rPr>
          <w:rFonts w:cstheme="minorHAnsi"/>
          <w:color w:val="215868" w:themeColor="accent5" w:themeShade="80"/>
          <w:sz w:val="28"/>
          <w:szCs w:val="28"/>
        </w:rPr>
        <w:t xml:space="preserve">Con relación al componente de comunicación externa la Entidad definió como objetivo principal de trabajo: "Reflejar con fidelidad a Catastro como entidad que genera valor a partir de la información y que cuenta con un equipo de trabajo dispuesto, dinámico e innovador", para esto se escribieron y gestionaron boletines y noticias, con información destacada de Catastro; se trabajó en la atención del público externo (redes sociales y medios de comunicación), se resolvieron las mesas de servicio con requerimientos para publicación en la Web; se publicaron  varias notas sobre el trabajo que realiza la entidad. También se actualizó la página Web con información sobre los trámites y servicios que ofrece la entidad y su misionalidad en temas como: Censo Inmobiliario, la Infraestructura de Datos Espaciales - IDECA,  Datos Abiertos y Geográficos; visitas a comunidades, Transparencia y Plan Anticorrupción entre otros.  </w:t>
      </w:r>
    </w:p>
    <w:p w:rsidR="00EA7C7C" w:rsidRDefault="00EA7C7C" w:rsidP="00AB41AE">
      <w:pPr>
        <w:spacing w:after="0"/>
        <w:jc w:val="both"/>
        <w:rPr>
          <w:rFonts w:cstheme="minorHAnsi"/>
          <w:color w:val="215868" w:themeColor="accent5" w:themeShade="80"/>
          <w:sz w:val="28"/>
          <w:szCs w:val="28"/>
        </w:rPr>
      </w:pPr>
    </w:p>
    <w:p w:rsidR="0054754B" w:rsidRDefault="00516916" w:rsidP="00AB41AE">
      <w:pPr>
        <w:spacing w:after="0"/>
        <w:jc w:val="both"/>
        <w:rPr>
          <w:rFonts w:cstheme="minorHAnsi"/>
          <w:color w:val="215868" w:themeColor="accent5" w:themeShade="80"/>
          <w:sz w:val="28"/>
          <w:szCs w:val="28"/>
        </w:rPr>
      </w:pPr>
      <w:r w:rsidRPr="00516916">
        <w:rPr>
          <w:rFonts w:cstheme="minorHAnsi"/>
          <w:color w:val="215868" w:themeColor="accent5" w:themeShade="80"/>
          <w:sz w:val="28"/>
          <w:szCs w:val="28"/>
        </w:rPr>
        <w:t>Durante 2019, se realizaron diseños para piezas de comunicación interna y externa, se realizó el FORO Bogotá Crece, en el cual se dio a conocer los resultados del Censo Inmobiliario de la vigencia 2019. De igual forma se hizo el lanzamiento del nuevo Catastro en línea, se brindó apoyo a los requerimientos de comunicación de las dependencias de la Unidad, se divulgaron las funcionalidades de la plataforma Mapas Bogotá.</w:t>
      </w:r>
    </w:p>
    <w:p w:rsidR="00516916" w:rsidRPr="00516916" w:rsidRDefault="00516916" w:rsidP="00516916">
      <w:pPr>
        <w:spacing w:after="0"/>
        <w:ind w:left="-567"/>
        <w:jc w:val="both"/>
        <w:rPr>
          <w:rFonts w:cstheme="minorHAnsi"/>
          <w:color w:val="215868" w:themeColor="accent5" w:themeShade="80"/>
          <w:sz w:val="28"/>
          <w:szCs w:val="28"/>
        </w:rPr>
      </w:pPr>
    </w:p>
    <w:p w:rsidR="0049356C" w:rsidRDefault="004B5610" w:rsidP="009E2852">
      <w:pPr>
        <w:pStyle w:val="Prrafodelista"/>
        <w:numPr>
          <w:ilvl w:val="0"/>
          <w:numId w:val="26"/>
        </w:numPr>
        <w:spacing w:after="0"/>
        <w:jc w:val="both"/>
        <w:rPr>
          <w:rFonts w:cstheme="minorHAnsi"/>
          <w:b/>
          <w:color w:val="215868" w:themeColor="accent5" w:themeShade="80"/>
          <w:sz w:val="28"/>
          <w:szCs w:val="28"/>
        </w:rPr>
      </w:pPr>
      <w:r w:rsidRPr="0054754B">
        <w:rPr>
          <w:rFonts w:cstheme="minorHAnsi"/>
          <w:b/>
          <w:color w:val="215868" w:themeColor="accent5" w:themeShade="80"/>
          <w:sz w:val="28"/>
          <w:szCs w:val="28"/>
        </w:rPr>
        <w:t>Mantener 1 Sistema de Gestión Integral en la entidad</w:t>
      </w:r>
    </w:p>
    <w:p w:rsidR="0054754B" w:rsidRDefault="0054754B" w:rsidP="0054754B">
      <w:pPr>
        <w:spacing w:after="0"/>
        <w:ind w:left="-502"/>
        <w:jc w:val="both"/>
        <w:rPr>
          <w:rFonts w:cstheme="minorHAnsi"/>
          <w:color w:val="215868" w:themeColor="accent5" w:themeShade="80"/>
          <w:sz w:val="28"/>
          <w:szCs w:val="28"/>
        </w:rPr>
      </w:pPr>
    </w:p>
    <w:p w:rsidR="0054754B" w:rsidRPr="0054754B" w:rsidRDefault="0054754B" w:rsidP="00BE2E3F">
      <w:pPr>
        <w:spacing w:after="0"/>
        <w:jc w:val="both"/>
        <w:rPr>
          <w:rFonts w:cstheme="minorHAnsi"/>
          <w:color w:val="215868" w:themeColor="accent5" w:themeShade="80"/>
          <w:sz w:val="28"/>
          <w:szCs w:val="28"/>
        </w:rPr>
      </w:pPr>
      <w:r w:rsidRPr="0054754B">
        <w:rPr>
          <w:rFonts w:cstheme="minorHAnsi"/>
          <w:color w:val="215868" w:themeColor="accent5" w:themeShade="80"/>
          <w:sz w:val="28"/>
          <w:szCs w:val="28"/>
        </w:rPr>
        <w:t xml:space="preserve">Con el fin de mantener el SGI en la Unidad, se realizó la actualización y mejora permanente de la documentación de los procesos que hacen parte de la cadena de valor acorde con las necesidades identificadas, así como el seguimiento de los indicadores y seguimiento de los mapas de riesgos por proceso. Respecto a la Implementación del Modelo Integrado de Planeación y gestión, se realizó seguimiento al plan de trabajo de implementación del modelo. Se obtuvo la recertificación en ISO 9001:2015 con SGS y se desarrollaron las auditorías internas de calidad a todos los procesos en el marco del Plan </w:t>
      </w:r>
      <w:r w:rsidR="00516916" w:rsidRPr="0054754B">
        <w:rPr>
          <w:rFonts w:cstheme="minorHAnsi"/>
          <w:color w:val="215868" w:themeColor="accent5" w:themeShade="80"/>
          <w:sz w:val="28"/>
          <w:szCs w:val="28"/>
        </w:rPr>
        <w:t xml:space="preserve">Anual </w:t>
      </w:r>
      <w:r w:rsidRPr="0054754B">
        <w:rPr>
          <w:rFonts w:cstheme="minorHAnsi"/>
          <w:color w:val="215868" w:themeColor="accent5" w:themeShade="80"/>
          <w:sz w:val="28"/>
          <w:szCs w:val="28"/>
        </w:rPr>
        <w:t xml:space="preserve">de </w:t>
      </w:r>
      <w:r w:rsidR="00516916" w:rsidRPr="0054754B">
        <w:rPr>
          <w:rFonts w:cstheme="minorHAnsi"/>
          <w:color w:val="215868" w:themeColor="accent5" w:themeShade="80"/>
          <w:sz w:val="28"/>
          <w:szCs w:val="28"/>
        </w:rPr>
        <w:t>Auditorías</w:t>
      </w:r>
      <w:r w:rsidRPr="0054754B">
        <w:rPr>
          <w:rFonts w:cstheme="minorHAnsi"/>
          <w:color w:val="215868" w:themeColor="accent5" w:themeShade="80"/>
          <w:sz w:val="28"/>
          <w:szCs w:val="28"/>
        </w:rPr>
        <w:t>.</w:t>
      </w:r>
      <w:r w:rsidR="00804825">
        <w:rPr>
          <w:rFonts w:cstheme="minorHAnsi"/>
          <w:color w:val="215868" w:themeColor="accent5" w:themeShade="80"/>
          <w:sz w:val="28"/>
          <w:szCs w:val="28"/>
        </w:rPr>
        <w:t xml:space="preserve"> </w:t>
      </w:r>
      <w:r w:rsidRPr="0054754B">
        <w:rPr>
          <w:rFonts w:cstheme="minorHAnsi"/>
          <w:color w:val="215868" w:themeColor="accent5" w:themeShade="80"/>
          <w:sz w:val="28"/>
          <w:szCs w:val="28"/>
        </w:rPr>
        <w:t>De otro lado se cuenta con los parámetros del modelo de costos ajustado al nuevo marco normativo contable y a su distribución al interior de la entidad.</w:t>
      </w:r>
      <w:r w:rsidR="00804825">
        <w:rPr>
          <w:rFonts w:cstheme="minorHAnsi"/>
          <w:color w:val="215868" w:themeColor="accent5" w:themeShade="80"/>
          <w:sz w:val="28"/>
          <w:szCs w:val="28"/>
        </w:rPr>
        <w:t xml:space="preserve"> </w:t>
      </w:r>
      <w:r w:rsidRPr="0054754B">
        <w:rPr>
          <w:rFonts w:cstheme="minorHAnsi"/>
          <w:color w:val="215868" w:themeColor="accent5" w:themeShade="80"/>
          <w:sz w:val="28"/>
          <w:szCs w:val="28"/>
        </w:rPr>
        <w:t>Con relación al tema contractual se establecieron controles en las diferentes etapas del proceso contractual con el fin de prevenir el riesgo legal en el desarrollo de los trámites que adelanta la Entidad.</w:t>
      </w:r>
    </w:p>
    <w:p w:rsidR="0049356C" w:rsidRPr="0049356C" w:rsidRDefault="0049356C" w:rsidP="0054754B">
      <w:pPr>
        <w:spacing w:after="0"/>
        <w:jc w:val="both"/>
        <w:rPr>
          <w:rFonts w:cstheme="minorHAnsi"/>
          <w:color w:val="215868" w:themeColor="accent5" w:themeShade="80"/>
          <w:sz w:val="28"/>
          <w:szCs w:val="28"/>
        </w:rPr>
      </w:pPr>
    </w:p>
    <w:p w:rsidR="0049356C" w:rsidRDefault="00E84C4E" w:rsidP="009E2852">
      <w:pPr>
        <w:pStyle w:val="Prrafodelista"/>
        <w:numPr>
          <w:ilvl w:val="0"/>
          <w:numId w:val="27"/>
        </w:numPr>
        <w:spacing w:after="0"/>
        <w:jc w:val="both"/>
        <w:rPr>
          <w:rFonts w:cstheme="minorHAnsi"/>
          <w:b/>
          <w:color w:val="215868" w:themeColor="accent5" w:themeShade="80"/>
          <w:sz w:val="28"/>
          <w:szCs w:val="28"/>
        </w:rPr>
      </w:pPr>
      <w:r w:rsidRPr="0054754B">
        <w:rPr>
          <w:rFonts w:cstheme="minorHAnsi"/>
          <w:b/>
          <w:color w:val="215868" w:themeColor="accent5" w:themeShade="80"/>
          <w:sz w:val="28"/>
          <w:szCs w:val="28"/>
        </w:rPr>
        <w:t xml:space="preserve">Automatizar 6 procedimientos que apoyan la misión de la Unidad: </w:t>
      </w:r>
    </w:p>
    <w:p w:rsidR="0054754B" w:rsidRDefault="0054754B" w:rsidP="0054754B">
      <w:pPr>
        <w:spacing w:after="0"/>
        <w:ind w:left="-502"/>
        <w:jc w:val="both"/>
        <w:rPr>
          <w:rFonts w:cstheme="minorHAnsi"/>
          <w:color w:val="215868" w:themeColor="accent5" w:themeShade="80"/>
          <w:sz w:val="28"/>
          <w:szCs w:val="28"/>
        </w:rPr>
      </w:pPr>
    </w:p>
    <w:p w:rsid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 xml:space="preserve">Durante el cuatrienio y a partir de un proceso de innovación, se elaboraron y aprobaron prototipos que permitieron automatizar actividades de los siguientes procedimientos: Reconocimiento predial, Actualización cartográfica masiva, Certificación de Cabida y linderos, Captura y ajuste de ofertas del mercado inmobiliario y Avalúos Comerciales.  Igualmente, se desarrolló un formulario que brinda soporte a los usuarios en la radicación de trámites a través de Catastro en Línea y se desarrolló e implementó el aplicativo Captura de terreno - CT, el cual permite gestionar la ficha de la visita técnica que realizan los servidores de la entidad. </w:t>
      </w:r>
    </w:p>
    <w:p w:rsidR="00804825" w:rsidRDefault="00804825" w:rsidP="00804825">
      <w:pPr>
        <w:spacing w:after="0"/>
        <w:ind w:left="-567"/>
        <w:jc w:val="both"/>
        <w:rPr>
          <w:rFonts w:cstheme="minorHAnsi"/>
          <w:color w:val="215868" w:themeColor="accent5" w:themeShade="80"/>
          <w:sz w:val="28"/>
          <w:szCs w:val="28"/>
        </w:rPr>
      </w:pPr>
    </w:p>
    <w:p w:rsidR="00B12A9C"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Específicamente, durante el 2019 se realizó la implementación de los componentes no funcionales para la automatización de los procedimientos "Captura y ajuste de ofertas del mercado inmobiliario" y "Avalúos Comerciales".  Para el primer procedimiento se realizó la gestión del desarrollo y el paso a producción de los componentes: planeación, cargue ofertas y asignación, llamadas y control de calidad, fuentes secundarias, depuración de ofertas y reportes; mientras que, para el segundo se realizó la gestión del desarrollo y el paso a producción de las funcionalidades: lucros, tipologías constructivas, novedades, reportes de seguimiento. Adicionalmente, se realizó la gestión del desarrollo y pruebas parciales de aceptación para el procedimiento:  "</w:t>
      </w:r>
      <w:proofErr w:type="spellStart"/>
      <w:r w:rsidRPr="00804825">
        <w:rPr>
          <w:rFonts w:cstheme="minorHAnsi"/>
          <w:color w:val="215868" w:themeColor="accent5" w:themeShade="80"/>
          <w:sz w:val="28"/>
          <w:szCs w:val="28"/>
        </w:rPr>
        <w:t>Desenglobe</w:t>
      </w:r>
      <w:proofErr w:type="spellEnd"/>
      <w:r w:rsidRPr="00804825">
        <w:rPr>
          <w:rFonts w:cstheme="minorHAnsi"/>
          <w:color w:val="215868" w:themeColor="accent5" w:themeShade="80"/>
          <w:sz w:val="28"/>
          <w:szCs w:val="28"/>
        </w:rPr>
        <w:t xml:space="preserve"> - Englobe - NPH"</w:t>
      </w:r>
    </w:p>
    <w:p w:rsidR="00804825" w:rsidRPr="00F504B4" w:rsidRDefault="00804825" w:rsidP="00804825">
      <w:pPr>
        <w:spacing w:after="0"/>
        <w:jc w:val="both"/>
        <w:rPr>
          <w:rFonts w:cstheme="minorHAnsi"/>
          <w:color w:val="215868" w:themeColor="accent5" w:themeShade="80"/>
          <w:sz w:val="28"/>
          <w:szCs w:val="28"/>
        </w:rPr>
      </w:pPr>
    </w:p>
    <w:p w:rsidR="00F663F7" w:rsidRPr="0049356C" w:rsidRDefault="00E84C4E" w:rsidP="009E2852">
      <w:pPr>
        <w:pStyle w:val="Prrafodelista"/>
        <w:numPr>
          <w:ilvl w:val="2"/>
          <w:numId w:val="4"/>
        </w:numPr>
        <w:spacing w:after="0"/>
        <w:ind w:left="709"/>
        <w:jc w:val="both"/>
        <w:rPr>
          <w:rFonts w:cstheme="minorHAnsi"/>
          <w:b/>
          <w:color w:val="215868" w:themeColor="accent5" w:themeShade="80"/>
          <w:sz w:val="28"/>
          <w:szCs w:val="28"/>
        </w:rPr>
      </w:pPr>
      <w:r w:rsidRPr="0049356C">
        <w:rPr>
          <w:rFonts w:cstheme="minorHAnsi"/>
          <w:b/>
          <w:color w:val="215868" w:themeColor="accent5" w:themeShade="80"/>
          <w:sz w:val="28"/>
          <w:szCs w:val="28"/>
        </w:rPr>
        <w:t>Componente Atención y servicio al ciudadano:</w:t>
      </w:r>
    </w:p>
    <w:p w:rsidR="00C71BDA" w:rsidRPr="00C71BDA" w:rsidRDefault="00C71BDA" w:rsidP="0054754B">
      <w:pPr>
        <w:pStyle w:val="Prrafodelista"/>
        <w:spacing w:after="0"/>
        <w:ind w:left="153"/>
        <w:jc w:val="both"/>
        <w:rPr>
          <w:rFonts w:cstheme="minorHAnsi"/>
          <w:color w:val="215868" w:themeColor="accent5" w:themeShade="80"/>
          <w:sz w:val="28"/>
          <w:szCs w:val="28"/>
        </w:rPr>
      </w:pPr>
    </w:p>
    <w:p w:rsidR="0000213C" w:rsidRPr="0054754B" w:rsidRDefault="00E84C4E" w:rsidP="009E2852">
      <w:pPr>
        <w:pStyle w:val="Prrafodelista"/>
        <w:numPr>
          <w:ilvl w:val="0"/>
          <w:numId w:val="28"/>
        </w:numPr>
        <w:spacing w:after="0"/>
        <w:jc w:val="both"/>
        <w:rPr>
          <w:rFonts w:cstheme="minorHAnsi"/>
          <w:b/>
          <w:color w:val="215868" w:themeColor="accent5" w:themeShade="80"/>
          <w:sz w:val="28"/>
          <w:szCs w:val="28"/>
        </w:rPr>
      </w:pPr>
      <w:r w:rsidRPr="0054754B">
        <w:rPr>
          <w:rFonts w:cstheme="minorHAnsi"/>
          <w:b/>
          <w:color w:val="215868" w:themeColor="accent5" w:themeShade="80"/>
          <w:sz w:val="28"/>
          <w:szCs w:val="28"/>
        </w:rPr>
        <w:t xml:space="preserve">Implementar al 100% solución tecnológica para la atención de los requerimientos de los ciudadanos: </w:t>
      </w:r>
    </w:p>
    <w:p w:rsidR="00804825" w:rsidRPr="00804825" w:rsidRDefault="00804825" w:rsidP="00804825">
      <w:pPr>
        <w:spacing w:after="0"/>
        <w:ind w:left="-567"/>
        <w:jc w:val="both"/>
        <w:rPr>
          <w:rFonts w:cstheme="minorHAnsi"/>
          <w:color w:val="215868" w:themeColor="accent5" w:themeShade="80"/>
          <w:sz w:val="28"/>
          <w:szCs w:val="28"/>
        </w:rPr>
      </w:pPr>
    </w:p>
    <w:p w:rsid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Durante el cuatrienio, se realizó la gestión del desarrollo del nuevo catastro en línea y la Tienda Virtual Fase I, igualmente, se realizó la implementación de los prototipos para la bodega de datos.</w:t>
      </w:r>
    </w:p>
    <w:p w:rsidR="00804825" w:rsidRPr="00804825" w:rsidRDefault="00804825" w:rsidP="00BE2E3F">
      <w:pPr>
        <w:spacing w:after="0"/>
        <w:jc w:val="both"/>
        <w:rPr>
          <w:rFonts w:cstheme="minorHAnsi"/>
          <w:color w:val="215868" w:themeColor="accent5" w:themeShade="80"/>
          <w:sz w:val="28"/>
          <w:szCs w:val="28"/>
        </w:rPr>
      </w:pPr>
    </w:p>
    <w:p w:rsidR="00804825" w:rsidRDefault="00804825" w:rsidP="00BE2E3F">
      <w:pPr>
        <w:spacing w:after="0"/>
        <w:jc w:val="both"/>
        <w:rPr>
          <w:rFonts w:cstheme="minorHAnsi"/>
          <w:color w:val="215868" w:themeColor="accent5" w:themeShade="80"/>
          <w:sz w:val="28"/>
          <w:szCs w:val="28"/>
        </w:rPr>
      </w:pPr>
      <w:r>
        <w:rPr>
          <w:rFonts w:cstheme="minorHAnsi"/>
          <w:color w:val="215868" w:themeColor="accent5" w:themeShade="80"/>
          <w:sz w:val="28"/>
          <w:szCs w:val="28"/>
        </w:rPr>
        <w:t>En la vigencia 2019</w:t>
      </w:r>
      <w:r w:rsidRPr="00804825">
        <w:rPr>
          <w:rFonts w:cstheme="minorHAnsi"/>
          <w:color w:val="215868" w:themeColor="accent5" w:themeShade="80"/>
          <w:sz w:val="28"/>
          <w:szCs w:val="28"/>
        </w:rPr>
        <w:t xml:space="preserve"> se realizó el lanzamiento del nuevo catastro en línea, de igual forma se realizó el lanzamiento de la Tienda Virtual Fase I  en la cual se encuentran disponibles para la venta de los productos: Manzanas Catastrales y Certificados a terceros. Por otra parte, se realizó la gestión del desarrollo y el paso a producción de las funcionalidades para la Tienda Virtual Fase II, se incluyeron los siguientes planos como productos: 1:5000, Bogotá, Localidad, Topográfico.</w:t>
      </w:r>
    </w:p>
    <w:p w:rsidR="00C0667D" w:rsidRPr="0054754B" w:rsidRDefault="00C0667D" w:rsidP="0054754B">
      <w:pPr>
        <w:spacing w:after="0"/>
        <w:jc w:val="both"/>
        <w:rPr>
          <w:rFonts w:cstheme="minorHAnsi"/>
          <w:color w:val="215868" w:themeColor="accent5" w:themeShade="80"/>
          <w:sz w:val="28"/>
          <w:szCs w:val="28"/>
        </w:rPr>
      </w:pPr>
    </w:p>
    <w:p w:rsidR="00C71BDA" w:rsidRDefault="00E84C4E" w:rsidP="009E2852">
      <w:pPr>
        <w:pStyle w:val="Prrafodelista"/>
        <w:numPr>
          <w:ilvl w:val="0"/>
          <w:numId w:val="29"/>
        </w:numPr>
        <w:spacing w:after="0"/>
        <w:jc w:val="both"/>
        <w:rPr>
          <w:rFonts w:cstheme="minorHAnsi"/>
          <w:b/>
          <w:color w:val="215868" w:themeColor="accent5" w:themeShade="80"/>
          <w:sz w:val="28"/>
          <w:szCs w:val="28"/>
        </w:rPr>
      </w:pPr>
      <w:r w:rsidRPr="0049356C">
        <w:rPr>
          <w:rFonts w:cstheme="minorHAnsi"/>
          <w:b/>
          <w:color w:val="215868" w:themeColor="accent5" w:themeShade="80"/>
          <w:sz w:val="28"/>
          <w:szCs w:val="28"/>
        </w:rPr>
        <w:t>Mejorar en 30% el nivel de confianza ciudadana en la entidad:</w:t>
      </w:r>
    </w:p>
    <w:p w:rsidR="0054754B" w:rsidRDefault="0054754B" w:rsidP="0054754B">
      <w:pPr>
        <w:spacing w:after="0"/>
        <w:ind w:left="-502"/>
        <w:jc w:val="both"/>
        <w:rPr>
          <w:rFonts w:cstheme="minorHAnsi"/>
          <w:color w:val="215868" w:themeColor="accent5" w:themeShade="80"/>
          <w:sz w:val="28"/>
          <w:szCs w:val="28"/>
        </w:rPr>
      </w:pP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Para el cuatrienio comprendido por las vigencias 2016</w:t>
      </w:r>
      <w:r>
        <w:rPr>
          <w:rFonts w:cstheme="minorHAnsi"/>
          <w:color w:val="215868" w:themeColor="accent5" w:themeShade="80"/>
          <w:sz w:val="28"/>
          <w:szCs w:val="28"/>
        </w:rPr>
        <w:t xml:space="preserve"> a</w:t>
      </w:r>
      <w:r w:rsidRPr="00804825">
        <w:rPr>
          <w:rFonts w:cstheme="minorHAnsi"/>
          <w:color w:val="215868" w:themeColor="accent5" w:themeShade="80"/>
          <w:sz w:val="28"/>
          <w:szCs w:val="28"/>
        </w:rPr>
        <w:t xml:space="preserve"> 2019 se tiene:</w:t>
      </w: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 xml:space="preserve">CANAL PRESENCIAL: El número de servicios atendidos en los seis (6) </w:t>
      </w:r>
      <w:proofErr w:type="spellStart"/>
      <w:r w:rsidRPr="00804825">
        <w:rPr>
          <w:rFonts w:cstheme="minorHAnsi"/>
          <w:color w:val="215868" w:themeColor="accent5" w:themeShade="80"/>
          <w:sz w:val="28"/>
          <w:szCs w:val="28"/>
        </w:rPr>
        <w:t>superCADES</w:t>
      </w:r>
      <w:proofErr w:type="spellEnd"/>
      <w:r w:rsidRPr="00804825">
        <w:rPr>
          <w:rFonts w:cstheme="minorHAnsi"/>
          <w:color w:val="215868" w:themeColor="accent5" w:themeShade="80"/>
          <w:sz w:val="28"/>
          <w:szCs w:val="28"/>
        </w:rPr>
        <w:t xml:space="preserve"> donde la Unidad corresponde a 998.591 peticiones. </w:t>
      </w: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CANAL VIRTUAL: El número de certificaciones catastrales expedidas asciende a  1.503.666, el número de certificaciones Censo Inmobiliario 824.163, peticiones contestadas a través de contáctenos 34.425  y 8.549 solicitudes resultas a través del  sistema Bogotá te Escucha.</w:t>
      </w: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CANAL ESCRITO: El número de solicitudes efectuadas a través de oficios corresponde a 35.575.</w:t>
      </w: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 xml:space="preserve">CANAL TELEFONICO: El número de atenciones corresponde a 92.024 llamadas. </w:t>
      </w:r>
    </w:p>
    <w:p w:rsidR="00804825" w:rsidRPr="00804825" w:rsidRDefault="00804825" w:rsidP="00BE2E3F">
      <w:pPr>
        <w:spacing w:after="0"/>
        <w:jc w:val="both"/>
        <w:rPr>
          <w:rFonts w:cstheme="minorHAnsi"/>
          <w:color w:val="215868" w:themeColor="accent5" w:themeShade="80"/>
          <w:sz w:val="28"/>
          <w:szCs w:val="28"/>
        </w:rPr>
      </w:pP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Para el cumplimiento de la meta  y en aras de aumentar el nivel de confianza ciudadana, se realizaron las siguientes acciones durante 2019</w:t>
      </w:r>
      <w:r>
        <w:rPr>
          <w:rFonts w:cstheme="minorHAnsi"/>
          <w:color w:val="215868" w:themeColor="accent5" w:themeShade="80"/>
          <w:sz w:val="28"/>
          <w:szCs w:val="28"/>
        </w:rPr>
        <w:t>:</w:t>
      </w:r>
    </w:p>
    <w:p w:rsidR="00804825" w:rsidRPr="00804825" w:rsidRDefault="00804825" w:rsidP="00BE2E3F">
      <w:pPr>
        <w:spacing w:after="0"/>
        <w:jc w:val="both"/>
        <w:rPr>
          <w:rFonts w:cstheme="minorHAnsi"/>
          <w:color w:val="215868" w:themeColor="accent5" w:themeShade="80"/>
          <w:sz w:val="28"/>
          <w:szCs w:val="28"/>
        </w:rPr>
      </w:pP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 xml:space="preserve">CANAL PRESENCIAL: El número de servicios atendidos  en los seis (6) </w:t>
      </w:r>
      <w:proofErr w:type="spellStart"/>
      <w:r w:rsidRPr="00804825">
        <w:rPr>
          <w:rFonts w:cstheme="minorHAnsi"/>
          <w:color w:val="215868" w:themeColor="accent5" w:themeShade="80"/>
          <w:sz w:val="28"/>
          <w:szCs w:val="28"/>
        </w:rPr>
        <w:t>superCADES</w:t>
      </w:r>
      <w:proofErr w:type="spellEnd"/>
      <w:r w:rsidRPr="00804825">
        <w:rPr>
          <w:rFonts w:cstheme="minorHAnsi"/>
          <w:color w:val="215868" w:themeColor="accent5" w:themeShade="80"/>
          <w:sz w:val="28"/>
          <w:szCs w:val="28"/>
        </w:rPr>
        <w:t xml:space="preserve"> donde la Unidad tiene cobertura corresponde a  250.850 tramites. </w:t>
      </w: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CANAL VIRTUAL: El número de certificaciones catastrales expedidas  es de 588.641, número de certificaciones de inscripción al censo catastral 129.876 y 458.765 certificaciones catastrales, 6.327 correos contestados a través de contáctenos y 3.553 solicitudes resultas mediante el sistema Bogotá te Escucha.</w:t>
      </w:r>
    </w:p>
    <w:p w:rsidR="00804825" w:rsidRP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CANAL ESCRITO: El número de CORDIS contestados corresponde a 13.121 oficios de respuesta.</w:t>
      </w:r>
    </w:p>
    <w:p w:rsidR="00804825" w:rsidRDefault="00804825" w:rsidP="00BE2E3F">
      <w:pPr>
        <w:spacing w:after="0"/>
        <w:jc w:val="both"/>
        <w:rPr>
          <w:rFonts w:cstheme="minorHAnsi"/>
          <w:color w:val="215868" w:themeColor="accent5" w:themeShade="80"/>
          <w:sz w:val="28"/>
          <w:szCs w:val="28"/>
        </w:rPr>
      </w:pPr>
      <w:r w:rsidRPr="00804825">
        <w:rPr>
          <w:rFonts w:cstheme="minorHAnsi"/>
          <w:color w:val="215868" w:themeColor="accent5" w:themeShade="80"/>
          <w:sz w:val="28"/>
          <w:szCs w:val="28"/>
        </w:rPr>
        <w:t>CANAL TELEFONICO: El número de atenciones corresponde a 19.696 llamadas.</w:t>
      </w:r>
    </w:p>
    <w:p w:rsidR="0054754B" w:rsidRPr="0054754B" w:rsidRDefault="0054754B" w:rsidP="0054754B">
      <w:pPr>
        <w:spacing w:after="0"/>
        <w:ind w:left="-502"/>
        <w:jc w:val="both"/>
        <w:rPr>
          <w:rFonts w:cstheme="minorHAnsi"/>
          <w:color w:val="215868" w:themeColor="accent5" w:themeShade="80"/>
          <w:sz w:val="28"/>
          <w:szCs w:val="28"/>
        </w:rPr>
      </w:pPr>
    </w:p>
    <w:p w:rsidR="0049356C" w:rsidRDefault="00D604A5" w:rsidP="009E2852">
      <w:pPr>
        <w:pStyle w:val="Prrafodelista"/>
        <w:numPr>
          <w:ilvl w:val="0"/>
          <w:numId w:val="30"/>
        </w:numPr>
        <w:spacing w:after="0"/>
        <w:jc w:val="both"/>
        <w:rPr>
          <w:rFonts w:cstheme="minorHAnsi"/>
          <w:b/>
          <w:color w:val="215868" w:themeColor="accent5" w:themeShade="80"/>
          <w:sz w:val="28"/>
          <w:szCs w:val="28"/>
        </w:rPr>
      </w:pPr>
      <w:r w:rsidRPr="0049356C">
        <w:rPr>
          <w:rFonts w:cstheme="minorHAnsi"/>
          <w:b/>
          <w:color w:val="215868" w:themeColor="accent5" w:themeShade="80"/>
          <w:sz w:val="28"/>
          <w:szCs w:val="28"/>
        </w:rPr>
        <w:t>Fortalecer cuatro (4) espacios de participación ciudadana en el distrito:</w:t>
      </w:r>
    </w:p>
    <w:p w:rsidR="00B12A9C" w:rsidRDefault="00B12A9C" w:rsidP="0054754B">
      <w:pPr>
        <w:spacing w:after="0"/>
        <w:ind w:left="-502"/>
        <w:jc w:val="both"/>
        <w:rPr>
          <w:rFonts w:cstheme="minorHAnsi"/>
          <w:color w:val="215868" w:themeColor="accent5" w:themeShade="80"/>
          <w:sz w:val="28"/>
          <w:szCs w:val="28"/>
        </w:rPr>
      </w:pPr>
    </w:p>
    <w:p w:rsidR="00804825" w:rsidRDefault="00804825" w:rsidP="00BE2E3F">
      <w:pPr>
        <w:pStyle w:val="Ttulo"/>
        <w:rPr>
          <w:rFonts w:asciiTheme="minorHAnsi" w:eastAsiaTheme="minorHAnsi" w:hAnsiTheme="minorHAnsi" w:cstheme="minorHAnsi"/>
          <w:color w:val="215868" w:themeColor="accent5" w:themeShade="80"/>
          <w:spacing w:val="0"/>
          <w:kern w:val="0"/>
          <w:sz w:val="28"/>
          <w:szCs w:val="28"/>
        </w:rPr>
      </w:pPr>
      <w:r w:rsidRPr="00804825">
        <w:rPr>
          <w:rFonts w:asciiTheme="minorHAnsi" w:eastAsiaTheme="minorHAnsi" w:hAnsiTheme="minorHAnsi" w:cstheme="minorHAnsi"/>
          <w:color w:val="215868" w:themeColor="accent5" w:themeShade="80"/>
          <w:spacing w:val="0"/>
          <w:kern w:val="0"/>
          <w:sz w:val="28"/>
          <w:szCs w:val="28"/>
        </w:rPr>
        <w:t>Durante lo corrido del cuatrienio se han desarrollado varios espacios de participación, así:</w:t>
      </w:r>
    </w:p>
    <w:p w:rsidR="00804825" w:rsidRDefault="00804825" w:rsidP="00BE2E3F">
      <w:pPr>
        <w:pStyle w:val="Ttulo"/>
        <w:rPr>
          <w:rFonts w:asciiTheme="minorHAnsi" w:eastAsiaTheme="minorHAnsi" w:hAnsiTheme="minorHAnsi" w:cstheme="minorHAnsi"/>
          <w:color w:val="215868" w:themeColor="accent5" w:themeShade="80"/>
          <w:spacing w:val="0"/>
          <w:kern w:val="0"/>
          <w:sz w:val="28"/>
          <w:szCs w:val="28"/>
        </w:rPr>
      </w:pPr>
    </w:p>
    <w:p w:rsidR="00804825" w:rsidRDefault="00804825" w:rsidP="00BE2E3F">
      <w:pPr>
        <w:pStyle w:val="Ttulo"/>
        <w:jc w:val="both"/>
        <w:rPr>
          <w:rFonts w:asciiTheme="minorHAnsi" w:eastAsiaTheme="minorHAnsi" w:hAnsiTheme="minorHAnsi" w:cstheme="minorHAnsi"/>
          <w:color w:val="215868" w:themeColor="accent5" w:themeShade="80"/>
          <w:spacing w:val="0"/>
          <w:kern w:val="0"/>
          <w:sz w:val="28"/>
          <w:szCs w:val="28"/>
        </w:rPr>
      </w:pPr>
      <w:r w:rsidRPr="00804825">
        <w:rPr>
          <w:rFonts w:asciiTheme="minorHAnsi" w:eastAsiaTheme="minorHAnsi" w:hAnsiTheme="minorHAnsi" w:cstheme="minorHAnsi"/>
          <w:color w:val="215868" w:themeColor="accent5" w:themeShade="80"/>
          <w:spacing w:val="0"/>
          <w:kern w:val="0"/>
          <w:sz w:val="28"/>
          <w:szCs w:val="28"/>
        </w:rPr>
        <w:t>Se dispuso la aplicación “Bogotá Cambia”​, la cual es una aplicación colaborativa de la dinámica urbana, creada para capturar y reportar transformaciones de la ciudad con fotos georreferenciadas por GPS, integradas a un mapa de la ciudad​; ​ en ​ella​​, cada registro aporta a complementar la información del censo inmobiliario, a través de esta herramienta se obtuvieron 669 registros reportados: 542 nuevas construcciones, 91 demoliciones, 6 cambios de uso residencial a institucional, 29 cambios de uso residencial a comercial y 1 cambio de uso comercial a residencial.</w:t>
      </w:r>
    </w:p>
    <w:p w:rsidR="00804825" w:rsidRDefault="00804825" w:rsidP="00BE2E3F">
      <w:pPr>
        <w:pStyle w:val="Ttulo"/>
        <w:jc w:val="both"/>
        <w:rPr>
          <w:rFonts w:asciiTheme="minorHAnsi" w:eastAsiaTheme="minorHAnsi" w:hAnsiTheme="minorHAnsi" w:cstheme="minorHAnsi"/>
          <w:color w:val="215868" w:themeColor="accent5" w:themeShade="80"/>
          <w:spacing w:val="0"/>
          <w:kern w:val="0"/>
          <w:sz w:val="28"/>
          <w:szCs w:val="28"/>
        </w:rPr>
      </w:pPr>
    </w:p>
    <w:p w:rsidR="00804825" w:rsidRDefault="00804825" w:rsidP="00BE2E3F">
      <w:pPr>
        <w:pStyle w:val="Ttulo"/>
        <w:jc w:val="both"/>
        <w:rPr>
          <w:rFonts w:asciiTheme="minorHAnsi" w:eastAsiaTheme="minorHAnsi" w:hAnsiTheme="minorHAnsi" w:cstheme="minorHAnsi"/>
          <w:color w:val="215868" w:themeColor="accent5" w:themeShade="80"/>
          <w:spacing w:val="0"/>
          <w:kern w:val="0"/>
          <w:sz w:val="28"/>
          <w:szCs w:val="28"/>
        </w:rPr>
      </w:pPr>
      <w:r w:rsidRPr="00804825">
        <w:rPr>
          <w:rFonts w:asciiTheme="minorHAnsi" w:eastAsiaTheme="minorHAnsi" w:hAnsiTheme="minorHAnsi" w:cstheme="minorHAnsi"/>
          <w:color w:val="215868" w:themeColor="accent5" w:themeShade="80"/>
          <w:spacing w:val="0"/>
          <w:kern w:val="0"/>
          <w:sz w:val="28"/>
          <w:szCs w:val="28"/>
        </w:rPr>
        <w:t xml:space="preserve">Se definió un espacio de participación, correspondiente a una investigación cualitativa orientada a identificar y analizar, los principales factores que evalúan vendedores y compradores de inmuebles en la ciudad de Bogotá, determinantes en su disposición a pagar (compradores) o precio aceptable (vendedores). Para el cumplimiento del objeto, se definieron 14 grupos a los cuales se les aplicaron las siguientes herramientas cualitativas: 19 </w:t>
      </w:r>
      <w:proofErr w:type="spellStart"/>
      <w:r w:rsidRPr="00804825">
        <w:rPr>
          <w:rFonts w:asciiTheme="minorHAnsi" w:eastAsiaTheme="minorHAnsi" w:hAnsiTheme="minorHAnsi" w:cstheme="minorHAnsi"/>
          <w:color w:val="215868" w:themeColor="accent5" w:themeShade="80"/>
          <w:spacing w:val="0"/>
          <w:kern w:val="0"/>
          <w:sz w:val="28"/>
          <w:szCs w:val="28"/>
        </w:rPr>
        <w:t>focus</w:t>
      </w:r>
      <w:proofErr w:type="spellEnd"/>
      <w:r w:rsidRPr="00804825">
        <w:rPr>
          <w:rFonts w:asciiTheme="minorHAnsi" w:eastAsiaTheme="minorHAnsi" w:hAnsiTheme="minorHAnsi" w:cstheme="minorHAnsi"/>
          <w:color w:val="215868" w:themeColor="accent5" w:themeShade="80"/>
          <w:spacing w:val="0"/>
          <w:kern w:val="0"/>
          <w:sz w:val="28"/>
          <w:szCs w:val="28"/>
        </w:rPr>
        <w:t xml:space="preserve"> </w:t>
      </w:r>
      <w:proofErr w:type="spellStart"/>
      <w:r w:rsidRPr="00804825">
        <w:rPr>
          <w:rFonts w:asciiTheme="minorHAnsi" w:eastAsiaTheme="minorHAnsi" w:hAnsiTheme="minorHAnsi" w:cstheme="minorHAnsi"/>
          <w:color w:val="215868" w:themeColor="accent5" w:themeShade="80"/>
          <w:spacing w:val="0"/>
          <w:kern w:val="0"/>
          <w:sz w:val="28"/>
          <w:szCs w:val="28"/>
        </w:rPr>
        <w:t>group</w:t>
      </w:r>
      <w:proofErr w:type="spellEnd"/>
      <w:r w:rsidRPr="00804825">
        <w:rPr>
          <w:rFonts w:asciiTheme="minorHAnsi" w:eastAsiaTheme="minorHAnsi" w:hAnsiTheme="minorHAnsi" w:cstheme="minorHAnsi"/>
          <w:color w:val="215868" w:themeColor="accent5" w:themeShade="80"/>
          <w:spacing w:val="0"/>
          <w:kern w:val="0"/>
          <w:sz w:val="28"/>
          <w:szCs w:val="28"/>
        </w:rPr>
        <w:t>, 9 estudios de caso y 21 entrevistas a profundidad.​</w:t>
      </w:r>
      <w:r>
        <w:rPr>
          <w:rFonts w:asciiTheme="minorHAnsi" w:eastAsiaTheme="minorHAnsi" w:hAnsiTheme="minorHAnsi" w:cstheme="minorHAnsi"/>
          <w:color w:val="215868" w:themeColor="accent5" w:themeShade="80"/>
          <w:spacing w:val="0"/>
          <w:kern w:val="0"/>
          <w:sz w:val="28"/>
          <w:szCs w:val="28"/>
        </w:rPr>
        <w:t xml:space="preserve"> </w:t>
      </w:r>
    </w:p>
    <w:p w:rsidR="00804825" w:rsidRDefault="00804825" w:rsidP="00BE2E3F">
      <w:pPr>
        <w:pStyle w:val="Ttulo"/>
        <w:jc w:val="both"/>
        <w:rPr>
          <w:rFonts w:asciiTheme="minorHAnsi" w:eastAsiaTheme="minorHAnsi" w:hAnsiTheme="minorHAnsi" w:cstheme="minorHAnsi"/>
          <w:color w:val="215868" w:themeColor="accent5" w:themeShade="80"/>
          <w:spacing w:val="0"/>
          <w:kern w:val="0"/>
          <w:sz w:val="28"/>
          <w:szCs w:val="28"/>
        </w:rPr>
      </w:pPr>
    </w:p>
    <w:p w:rsidR="00804825" w:rsidRDefault="00804825" w:rsidP="00BE2E3F">
      <w:pPr>
        <w:pStyle w:val="Ttulo"/>
        <w:jc w:val="both"/>
        <w:rPr>
          <w:rFonts w:asciiTheme="minorHAnsi" w:eastAsiaTheme="minorHAnsi" w:hAnsiTheme="minorHAnsi" w:cstheme="minorHAnsi"/>
          <w:color w:val="215868" w:themeColor="accent5" w:themeShade="80"/>
          <w:spacing w:val="0"/>
          <w:kern w:val="0"/>
          <w:sz w:val="28"/>
          <w:szCs w:val="28"/>
        </w:rPr>
      </w:pPr>
      <w:r w:rsidRPr="00804825">
        <w:rPr>
          <w:rFonts w:asciiTheme="minorHAnsi" w:eastAsiaTheme="minorHAnsi" w:hAnsiTheme="minorHAnsi" w:cstheme="minorHAnsi"/>
          <w:color w:val="215868" w:themeColor="accent5" w:themeShade="80"/>
          <w:spacing w:val="0"/>
          <w:kern w:val="0"/>
          <w:sz w:val="28"/>
          <w:szCs w:val="28"/>
        </w:rPr>
        <w:t>Se desarrolló un espacio de participación colaborativa con miembros de la comunidad de IDECA, estudiantes universitarios y funcionarios de la UAECD, con el fin de crear un ambiente de pruebas para el rediseño del portal web de la Infraestructura de Datos Espaciales para el Distrito Capital ‐ IDECA, los participantes respondieron la encuesta virtual de caracterización de usuarios, en la cual se recibieron aportes que fueron tenidos en cuenta en el proceso de rediseño de la plataforma de información geográfica de Bogotá.</w:t>
      </w:r>
    </w:p>
    <w:p w:rsidR="00804825" w:rsidRDefault="00804825" w:rsidP="00BE2E3F">
      <w:pPr>
        <w:pStyle w:val="Ttulo"/>
        <w:jc w:val="both"/>
        <w:rPr>
          <w:rFonts w:asciiTheme="minorHAnsi" w:eastAsiaTheme="minorHAnsi" w:hAnsiTheme="minorHAnsi" w:cstheme="minorHAnsi"/>
          <w:color w:val="215868" w:themeColor="accent5" w:themeShade="80"/>
          <w:spacing w:val="0"/>
          <w:kern w:val="0"/>
          <w:sz w:val="28"/>
          <w:szCs w:val="28"/>
        </w:rPr>
      </w:pPr>
    </w:p>
    <w:p w:rsidR="00BE2E3F" w:rsidRDefault="00804825" w:rsidP="00BE2E3F">
      <w:pPr>
        <w:pStyle w:val="Ttulo"/>
        <w:jc w:val="both"/>
        <w:rPr>
          <w:rFonts w:asciiTheme="minorHAnsi" w:hAnsiTheme="minorHAnsi" w:cstheme="minorHAnsi"/>
          <w:color w:val="215868" w:themeColor="accent5" w:themeShade="80"/>
        </w:rPr>
      </w:pPr>
      <w:r w:rsidRPr="00804825">
        <w:rPr>
          <w:rFonts w:asciiTheme="minorHAnsi" w:eastAsiaTheme="minorHAnsi" w:hAnsiTheme="minorHAnsi" w:cstheme="minorHAnsi"/>
          <w:color w:val="215868" w:themeColor="accent5" w:themeShade="80"/>
          <w:spacing w:val="0"/>
          <w:kern w:val="0"/>
          <w:sz w:val="28"/>
          <w:szCs w:val="28"/>
        </w:rPr>
        <w:t xml:space="preserve">Durante el  2019, se realizaron visitas a los puntos de atención de los </w:t>
      </w:r>
      <w:proofErr w:type="spellStart"/>
      <w:r w:rsidRPr="00804825">
        <w:rPr>
          <w:rFonts w:asciiTheme="minorHAnsi" w:eastAsiaTheme="minorHAnsi" w:hAnsiTheme="minorHAnsi" w:cstheme="minorHAnsi"/>
          <w:color w:val="215868" w:themeColor="accent5" w:themeShade="80"/>
          <w:spacing w:val="0"/>
          <w:kern w:val="0"/>
          <w:sz w:val="28"/>
          <w:szCs w:val="28"/>
        </w:rPr>
        <w:t>supercades</w:t>
      </w:r>
      <w:proofErr w:type="spellEnd"/>
      <w:r w:rsidRPr="00804825">
        <w:rPr>
          <w:rFonts w:asciiTheme="minorHAnsi" w:eastAsiaTheme="minorHAnsi" w:hAnsiTheme="minorHAnsi" w:cstheme="minorHAnsi"/>
          <w:color w:val="215868" w:themeColor="accent5" w:themeShade="80"/>
          <w:spacing w:val="0"/>
          <w:kern w:val="0"/>
          <w:sz w:val="28"/>
          <w:szCs w:val="28"/>
        </w:rPr>
        <w:t>, con el fin de socializar con los usuarios el funcionamiento de Catastro en Línea y así mismo atender sus inquietudes. Igualmente, se realizaron las visitas a diferentes localidades en las cuales se atendieron inquietudes de los usuarios sobre avalúos, exención por actos terroristas y cabida y linderos y reuniones con las iglesias teniendo en cuenta la nueva normatividad al respecto.  Se desarrolló el foro Bogotá Crece y se han dado respuesta a los requerimientos recibidos a través de la aplicación de unas encuestas durante los eventos del plan de participación ciudadana. De otra parte, brindó atención a propietarios de predios del culto Canaima y María Paz.</w:t>
      </w:r>
      <w:r w:rsidR="00E972C8" w:rsidRPr="00272A71">
        <w:rPr>
          <w:rFonts w:asciiTheme="minorHAnsi" w:hAnsiTheme="minorHAnsi" w:cstheme="minorHAnsi"/>
          <w:color w:val="215868" w:themeColor="accent5" w:themeShade="80"/>
          <w:sz w:val="28"/>
          <w:szCs w:val="28"/>
        </w:rPr>
        <w:br w:type="page"/>
      </w:r>
      <w:r w:rsidR="00BE2E3F" w:rsidRPr="00BE2E3F">
        <w:rPr>
          <w:rFonts w:asciiTheme="minorHAnsi" w:hAnsiTheme="minorHAnsi" w:cstheme="minorHAnsi"/>
          <w:color w:val="215868" w:themeColor="accent5" w:themeShade="80"/>
        </w:rPr>
        <w:t xml:space="preserve">3. </w:t>
      </w:r>
      <w:r w:rsidR="00BE2E3F">
        <w:rPr>
          <w:rFonts w:asciiTheme="minorHAnsi" w:hAnsiTheme="minorHAnsi" w:cstheme="minorHAnsi"/>
          <w:color w:val="215868" w:themeColor="accent5" w:themeShade="80"/>
        </w:rPr>
        <w:t xml:space="preserve">  </w:t>
      </w:r>
      <w:r w:rsidR="0035472A" w:rsidRPr="00C0667D">
        <w:rPr>
          <w:rFonts w:asciiTheme="minorHAnsi" w:hAnsiTheme="minorHAnsi" w:cstheme="minorHAnsi"/>
          <w:color w:val="215868" w:themeColor="accent5" w:themeShade="80"/>
        </w:rPr>
        <w:t xml:space="preserve">EJECUCIÓN PRESUPUESTAL PROYECTOS </w:t>
      </w:r>
    </w:p>
    <w:p w:rsidR="00E972C8" w:rsidRPr="00BE2E3F" w:rsidRDefault="0035472A" w:rsidP="00BE2E3F">
      <w:pPr>
        <w:pStyle w:val="Ttulo"/>
        <w:jc w:val="both"/>
        <w:rPr>
          <w:rFonts w:asciiTheme="minorHAnsi" w:hAnsiTheme="minorHAnsi" w:cstheme="minorHAnsi"/>
          <w:color w:val="215868" w:themeColor="accent5" w:themeShade="80"/>
        </w:rPr>
      </w:pPr>
      <w:r w:rsidRPr="00C0667D">
        <w:rPr>
          <w:rFonts w:asciiTheme="minorHAnsi" w:hAnsiTheme="minorHAnsi" w:cstheme="minorHAnsi"/>
          <w:color w:val="215868" w:themeColor="accent5" w:themeShade="80"/>
        </w:rPr>
        <w:t>DE INVERSIÓN</w:t>
      </w:r>
    </w:p>
    <w:p w:rsidR="009F0059" w:rsidRPr="001B5BAF" w:rsidRDefault="0035472A" w:rsidP="00BE2E3F">
      <w:pPr>
        <w:jc w:val="both"/>
        <w:rPr>
          <w:rFonts w:cstheme="minorHAnsi"/>
          <w:b/>
          <w:i/>
          <w:color w:val="215868" w:themeColor="accent5" w:themeShade="80"/>
          <w:sz w:val="18"/>
          <w:szCs w:val="20"/>
        </w:rPr>
      </w:pPr>
      <w:r w:rsidRPr="00272A71">
        <w:rPr>
          <w:rFonts w:cstheme="minorHAnsi"/>
          <w:color w:val="215868" w:themeColor="accent5" w:themeShade="80"/>
          <w:sz w:val="28"/>
          <w:szCs w:val="28"/>
        </w:rPr>
        <w:t>La ejecución del Presupuesto de Gastos de Inversión para la vigencia 201</w:t>
      </w:r>
      <w:r w:rsidR="00804825">
        <w:rPr>
          <w:rFonts w:cstheme="minorHAnsi"/>
          <w:color w:val="215868" w:themeColor="accent5" w:themeShade="80"/>
          <w:sz w:val="28"/>
          <w:szCs w:val="28"/>
        </w:rPr>
        <w:t>9</w:t>
      </w:r>
      <w:r w:rsidRPr="00272A71">
        <w:rPr>
          <w:rFonts w:cstheme="minorHAnsi"/>
          <w:color w:val="215868" w:themeColor="accent5" w:themeShade="80"/>
          <w:sz w:val="28"/>
          <w:szCs w:val="28"/>
        </w:rPr>
        <w:t xml:space="preserve">, </w:t>
      </w:r>
      <w:r w:rsidR="000E7318" w:rsidRPr="00272A71">
        <w:rPr>
          <w:rFonts w:cstheme="minorHAnsi"/>
          <w:color w:val="215868" w:themeColor="accent5" w:themeShade="80"/>
          <w:sz w:val="28"/>
          <w:szCs w:val="28"/>
        </w:rPr>
        <w:t xml:space="preserve">correspondiente a los proyectos de inversión del Plan Distrital de Desarrollo 2016 – 2020 Bogotá Mejor Para Todos </w:t>
      </w:r>
      <w:r w:rsidRPr="00272A71">
        <w:rPr>
          <w:rFonts w:cstheme="minorHAnsi"/>
          <w:color w:val="215868" w:themeColor="accent5" w:themeShade="80"/>
          <w:sz w:val="28"/>
          <w:szCs w:val="28"/>
        </w:rPr>
        <w:t>es la siguiente:</w:t>
      </w:r>
    </w:p>
    <w:tbl>
      <w:tblPr>
        <w:tblW w:w="506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2059"/>
        <w:gridCol w:w="2797"/>
        <w:gridCol w:w="1638"/>
        <w:gridCol w:w="1727"/>
        <w:gridCol w:w="1239"/>
      </w:tblGrid>
      <w:tr w:rsidR="00272A71" w:rsidRPr="00BE2E3F" w:rsidTr="00BE2E3F">
        <w:trPr>
          <w:trHeight w:val="342"/>
        </w:trPr>
        <w:tc>
          <w:tcPr>
            <w:tcW w:w="1088" w:type="pct"/>
            <w:shd w:val="clear" w:color="auto" w:fill="auto"/>
            <w:noWrap/>
            <w:vAlign w:val="bottom"/>
            <w:hideMark/>
          </w:tcPr>
          <w:p w:rsidR="00D604A5" w:rsidRPr="00BE2E3F" w:rsidRDefault="00D604A5" w:rsidP="00D604A5">
            <w:pPr>
              <w:spacing w:after="0" w:line="240" w:lineRule="auto"/>
              <w:rPr>
                <w:rFonts w:eastAsia="Times New Roman" w:cs="Arial"/>
                <w:color w:val="215868" w:themeColor="accent5" w:themeShade="80"/>
                <w:lang w:eastAsia="es-CO"/>
              </w:rPr>
            </w:pPr>
          </w:p>
        </w:tc>
        <w:tc>
          <w:tcPr>
            <w:tcW w:w="1478" w:type="pct"/>
            <w:shd w:val="clear" w:color="auto" w:fill="auto"/>
            <w:vAlign w:val="bottom"/>
            <w:hideMark/>
          </w:tcPr>
          <w:p w:rsidR="00D604A5" w:rsidRPr="00BE2E3F" w:rsidRDefault="00D604A5" w:rsidP="00D604A5">
            <w:pPr>
              <w:spacing w:after="0" w:line="240" w:lineRule="auto"/>
              <w:rPr>
                <w:rFonts w:eastAsia="Times New Roman" w:cs="Arial"/>
                <w:color w:val="215868" w:themeColor="accent5" w:themeShade="80"/>
                <w:lang w:eastAsia="es-CO"/>
              </w:rPr>
            </w:pPr>
          </w:p>
        </w:tc>
        <w:tc>
          <w:tcPr>
            <w:tcW w:w="866" w:type="pct"/>
            <w:shd w:val="clear" w:color="auto" w:fill="auto"/>
            <w:noWrap/>
            <w:vAlign w:val="bottom"/>
            <w:hideMark/>
          </w:tcPr>
          <w:p w:rsidR="00D604A5" w:rsidRPr="00BE2E3F" w:rsidRDefault="00D604A5" w:rsidP="00D604A5">
            <w:pPr>
              <w:spacing w:after="0" w:line="240" w:lineRule="auto"/>
              <w:rPr>
                <w:rFonts w:eastAsia="Times New Roman" w:cs="Arial"/>
                <w:color w:val="215868" w:themeColor="accent5" w:themeShade="80"/>
                <w:lang w:eastAsia="es-CO"/>
              </w:rPr>
            </w:pPr>
          </w:p>
        </w:tc>
        <w:tc>
          <w:tcPr>
            <w:tcW w:w="913" w:type="pct"/>
            <w:shd w:val="clear" w:color="auto" w:fill="auto"/>
            <w:noWrap/>
            <w:vAlign w:val="bottom"/>
            <w:hideMark/>
          </w:tcPr>
          <w:p w:rsidR="00D604A5" w:rsidRPr="00BE2E3F" w:rsidRDefault="00D604A5" w:rsidP="00D604A5">
            <w:pPr>
              <w:spacing w:after="0" w:line="240" w:lineRule="auto"/>
              <w:rPr>
                <w:rFonts w:eastAsia="Times New Roman" w:cs="Arial"/>
                <w:color w:val="215868" w:themeColor="accent5" w:themeShade="80"/>
                <w:lang w:eastAsia="es-CO"/>
              </w:rPr>
            </w:pPr>
          </w:p>
        </w:tc>
        <w:tc>
          <w:tcPr>
            <w:tcW w:w="655" w:type="pct"/>
            <w:shd w:val="clear" w:color="auto" w:fill="auto"/>
            <w:noWrap/>
            <w:vAlign w:val="bottom"/>
            <w:hideMark/>
          </w:tcPr>
          <w:p w:rsidR="00D604A5" w:rsidRPr="00BE2E3F" w:rsidRDefault="00D604A5" w:rsidP="00D604A5">
            <w:pPr>
              <w:spacing w:after="0" w:line="240" w:lineRule="auto"/>
              <w:jc w:val="right"/>
              <w:rPr>
                <w:rFonts w:eastAsia="Times New Roman" w:cs="Arial"/>
                <w:color w:val="215868" w:themeColor="accent5" w:themeShade="80"/>
                <w:lang w:eastAsia="es-CO"/>
              </w:rPr>
            </w:pPr>
            <w:r w:rsidRPr="00BE2E3F">
              <w:rPr>
                <w:rFonts w:eastAsia="Times New Roman" w:cs="Arial"/>
                <w:color w:val="215868" w:themeColor="accent5" w:themeShade="80"/>
                <w:lang w:eastAsia="es-CO"/>
              </w:rPr>
              <w:t>Millones $</w:t>
            </w:r>
          </w:p>
        </w:tc>
      </w:tr>
      <w:tr w:rsidR="0049356C" w:rsidRPr="00BE2E3F" w:rsidTr="00BE2E3F">
        <w:trPr>
          <w:trHeight w:val="762"/>
        </w:trPr>
        <w:tc>
          <w:tcPr>
            <w:tcW w:w="1088" w:type="pct"/>
            <w:shd w:val="clear" w:color="auto" w:fill="0070C0"/>
            <w:vAlign w:val="center"/>
            <w:hideMark/>
          </w:tcPr>
          <w:p w:rsidR="00D604A5" w:rsidRPr="00BE2E3F" w:rsidRDefault="00D604A5" w:rsidP="00D604A5">
            <w:pPr>
              <w:spacing w:after="0" w:line="240" w:lineRule="auto"/>
              <w:jc w:val="center"/>
              <w:rPr>
                <w:rFonts w:eastAsia="Times New Roman" w:cs="Arial"/>
                <w:b/>
                <w:bCs/>
                <w:color w:val="FFFFFF" w:themeColor="background1"/>
                <w:lang w:eastAsia="es-CO"/>
              </w:rPr>
            </w:pPr>
            <w:r w:rsidRPr="00BE2E3F">
              <w:rPr>
                <w:rFonts w:eastAsia="Times New Roman" w:cs="Arial"/>
                <w:b/>
                <w:bCs/>
                <w:color w:val="FFFFFF" w:themeColor="background1"/>
                <w:lang w:eastAsia="es-CO"/>
              </w:rPr>
              <w:t>CÓDIGO</w:t>
            </w:r>
          </w:p>
        </w:tc>
        <w:tc>
          <w:tcPr>
            <w:tcW w:w="1478" w:type="pct"/>
            <w:shd w:val="clear" w:color="auto" w:fill="0070C0"/>
            <w:vAlign w:val="center"/>
            <w:hideMark/>
          </w:tcPr>
          <w:p w:rsidR="00D604A5" w:rsidRPr="00BE2E3F" w:rsidRDefault="00D604A5" w:rsidP="00D604A5">
            <w:pPr>
              <w:spacing w:after="0" w:line="240" w:lineRule="auto"/>
              <w:jc w:val="center"/>
              <w:rPr>
                <w:rFonts w:eastAsia="Times New Roman" w:cs="Arial"/>
                <w:b/>
                <w:bCs/>
                <w:color w:val="FFFFFF" w:themeColor="background1"/>
                <w:lang w:eastAsia="es-CO"/>
              </w:rPr>
            </w:pPr>
            <w:r w:rsidRPr="00BE2E3F">
              <w:rPr>
                <w:rFonts w:eastAsia="Times New Roman" w:cs="Arial"/>
                <w:b/>
                <w:bCs/>
                <w:color w:val="FFFFFF" w:themeColor="background1"/>
                <w:lang w:eastAsia="es-CO"/>
              </w:rPr>
              <w:t xml:space="preserve">RUBRO </w:t>
            </w:r>
          </w:p>
        </w:tc>
        <w:tc>
          <w:tcPr>
            <w:tcW w:w="866" w:type="pct"/>
            <w:shd w:val="clear" w:color="auto" w:fill="0070C0"/>
            <w:vAlign w:val="center"/>
            <w:hideMark/>
          </w:tcPr>
          <w:p w:rsidR="00D604A5" w:rsidRPr="00BE2E3F" w:rsidRDefault="00D604A5" w:rsidP="00D604A5">
            <w:pPr>
              <w:spacing w:after="0" w:line="240" w:lineRule="auto"/>
              <w:jc w:val="center"/>
              <w:rPr>
                <w:rFonts w:eastAsia="Times New Roman" w:cs="Arial"/>
                <w:b/>
                <w:bCs/>
                <w:color w:val="FFFFFF" w:themeColor="background1"/>
                <w:lang w:eastAsia="es-CO"/>
              </w:rPr>
            </w:pPr>
            <w:r w:rsidRPr="00BE2E3F">
              <w:rPr>
                <w:rFonts w:eastAsia="Times New Roman" w:cs="Arial"/>
                <w:b/>
                <w:bCs/>
                <w:color w:val="FFFFFF" w:themeColor="background1"/>
                <w:lang w:eastAsia="es-CO"/>
              </w:rPr>
              <w:t>PRESUPUESTO ASIGNADO</w:t>
            </w:r>
            <w:r w:rsidR="00804825" w:rsidRPr="00BE2E3F">
              <w:rPr>
                <w:rFonts w:eastAsia="Times New Roman" w:cs="Arial"/>
                <w:b/>
                <w:bCs/>
                <w:color w:val="FFFFFF" w:themeColor="background1"/>
                <w:lang w:eastAsia="es-CO"/>
              </w:rPr>
              <w:t xml:space="preserve"> DEFINITIVO </w:t>
            </w:r>
          </w:p>
        </w:tc>
        <w:tc>
          <w:tcPr>
            <w:tcW w:w="913" w:type="pct"/>
            <w:shd w:val="clear" w:color="auto" w:fill="0070C0"/>
            <w:vAlign w:val="center"/>
            <w:hideMark/>
          </w:tcPr>
          <w:p w:rsidR="00D604A5" w:rsidRPr="00BE2E3F" w:rsidRDefault="00D604A5" w:rsidP="00D604A5">
            <w:pPr>
              <w:spacing w:after="0" w:line="240" w:lineRule="auto"/>
              <w:jc w:val="center"/>
              <w:rPr>
                <w:rFonts w:eastAsia="Times New Roman" w:cs="Arial"/>
                <w:b/>
                <w:bCs/>
                <w:color w:val="FFFFFF" w:themeColor="background1"/>
                <w:lang w:eastAsia="es-CO"/>
              </w:rPr>
            </w:pPr>
            <w:r w:rsidRPr="00BE2E3F">
              <w:rPr>
                <w:rFonts w:eastAsia="Times New Roman" w:cs="Arial"/>
                <w:b/>
                <w:bCs/>
                <w:color w:val="FFFFFF" w:themeColor="background1"/>
                <w:lang w:eastAsia="es-CO"/>
              </w:rPr>
              <w:t>COMPROMISOS A 31 DE DICIEMBRE</w:t>
            </w:r>
          </w:p>
        </w:tc>
        <w:tc>
          <w:tcPr>
            <w:tcW w:w="655" w:type="pct"/>
            <w:shd w:val="clear" w:color="auto" w:fill="0070C0"/>
            <w:vAlign w:val="center"/>
            <w:hideMark/>
          </w:tcPr>
          <w:p w:rsidR="00D604A5" w:rsidRPr="00BE2E3F" w:rsidRDefault="00D604A5" w:rsidP="00D604A5">
            <w:pPr>
              <w:spacing w:after="0" w:line="240" w:lineRule="auto"/>
              <w:jc w:val="center"/>
              <w:rPr>
                <w:rFonts w:eastAsia="Times New Roman" w:cs="Arial"/>
                <w:b/>
                <w:bCs/>
                <w:color w:val="FFFFFF" w:themeColor="background1"/>
                <w:lang w:eastAsia="es-CO"/>
              </w:rPr>
            </w:pPr>
            <w:r w:rsidRPr="00BE2E3F">
              <w:rPr>
                <w:rFonts w:eastAsia="Times New Roman" w:cs="Arial"/>
                <w:b/>
                <w:bCs/>
                <w:color w:val="FFFFFF" w:themeColor="background1"/>
                <w:lang w:eastAsia="es-CO"/>
              </w:rPr>
              <w:t>% DE EJECUCIÓN</w:t>
            </w:r>
          </w:p>
        </w:tc>
      </w:tr>
      <w:tr w:rsidR="00317716" w:rsidRPr="00BE2E3F" w:rsidTr="00BE2E3F">
        <w:trPr>
          <w:trHeight w:val="651"/>
        </w:trPr>
        <w:tc>
          <w:tcPr>
            <w:tcW w:w="1088" w:type="pct"/>
            <w:shd w:val="clear" w:color="auto" w:fill="D9D9D9" w:themeFill="background1" w:themeFillShade="D9"/>
            <w:noWrap/>
            <w:vAlign w:val="center"/>
            <w:hideMark/>
          </w:tcPr>
          <w:p w:rsidR="00317716" w:rsidRPr="00BE2E3F" w:rsidRDefault="00317716" w:rsidP="00317716">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3.3.1.15.</w:t>
            </w:r>
          </w:p>
        </w:tc>
        <w:tc>
          <w:tcPr>
            <w:tcW w:w="1478" w:type="pct"/>
            <w:shd w:val="clear" w:color="auto" w:fill="D9D9D9" w:themeFill="background1" w:themeFillShade="D9"/>
            <w:vAlign w:val="center"/>
            <w:hideMark/>
          </w:tcPr>
          <w:p w:rsidR="00317716" w:rsidRPr="00BE2E3F" w:rsidRDefault="00317716" w:rsidP="00317716">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BOGOTÁ MEJOR PARA TODOS</w:t>
            </w:r>
          </w:p>
        </w:tc>
        <w:tc>
          <w:tcPr>
            <w:tcW w:w="866" w:type="pct"/>
            <w:shd w:val="clear" w:color="auto" w:fill="D9D9D9" w:themeFill="background1" w:themeFillShade="D9"/>
            <w:noWrap/>
            <w:vAlign w:val="center"/>
          </w:tcPr>
          <w:p w:rsidR="00317716" w:rsidRPr="00BE2E3F" w:rsidRDefault="00317716" w:rsidP="00317716">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$ 18.875</w:t>
            </w:r>
          </w:p>
        </w:tc>
        <w:tc>
          <w:tcPr>
            <w:tcW w:w="913" w:type="pct"/>
            <w:shd w:val="clear" w:color="auto" w:fill="D9D9D9" w:themeFill="background1" w:themeFillShade="D9"/>
            <w:noWrap/>
            <w:vAlign w:val="center"/>
          </w:tcPr>
          <w:p w:rsidR="00317716" w:rsidRPr="00BE2E3F" w:rsidRDefault="00317716" w:rsidP="00317716">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$ 18.557</w:t>
            </w:r>
          </w:p>
        </w:tc>
        <w:tc>
          <w:tcPr>
            <w:tcW w:w="655" w:type="pct"/>
            <w:shd w:val="clear" w:color="auto" w:fill="D9D9D9" w:themeFill="background1" w:themeFillShade="D9"/>
            <w:noWrap/>
            <w:vAlign w:val="center"/>
          </w:tcPr>
          <w:p w:rsidR="00317716" w:rsidRPr="00BE2E3F" w:rsidRDefault="00317716" w:rsidP="00317716">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98.32%</w:t>
            </w:r>
          </w:p>
        </w:tc>
      </w:tr>
      <w:tr w:rsidR="00286C7E" w:rsidRPr="00BE2E3F" w:rsidTr="00BE2E3F">
        <w:trPr>
          <w:trHeight w:val="1302"/>
        </w:trPr>
        <w:tc>
          <w:tcPr>
            <w:tcW w:w="1088" w:type="pct"/>
            <w:shd w:val="clear" w:color="auto" w:fill="D9D9D9" w:themeFill="background1" w:themeFillShade="D9"/>
            <w:noWrap/>
            <w:vAlign w:val="center"/>
            <w:hideMark/>
          </w:tcPr>
          <w:p w:rsidR="00286C7E" w:rsidRPr="00BE2E3F" w:rsidRDefault="00286C7E" w:rsidP="00286C7E">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3.3.1.15.07</w:t>
            </w:r>
          </w:p>
        </w:tc>
        <w:tc>
          <w:tcPr>
            <w:tcW w:w="1478" w:type="pct"/>
            <w:shd w:val="clear" w:color="auto" w:fill="D9D9D9" w:themeFill="background1" w:themeFillShade="D9"/>
            <w:vAlign w:val="center"/>
            <w:hideMark/>
          </w:tcPr>
          <w:p w:rsidR="00286C7E" w:rsidRPr="00BE2E3F" w:rsidRDefault="00286C7E" w:rsidP="00286C7E">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Eje transversal Gobierno legítimo, fortalecimiento local y eficiencia</w:t>
            </w:r>
          </w:p>
        </w:tc>
        <w:tc>
          <w:tcPr>
            <w:tcW w:w="866" w:type="pct"/>
            <w:shd w:val="clear" w:color="auto" w:fill="D9D9D9" w:themeFill="background1" w:themeFillShade="D9"/>
            <w:noWrap/>
            <w:vAlign w:val="center"/>
          </w:tcPr>
          <w:p w:rsidR="00286C7E" w:rsidRPr="00BE2E3F" w:rsidRDefault="00286C7E" w:rsidP="00286C7E">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xml:space="preserve">$ </w:t>
            </w:r>
            <w:r w:rsidR="00804825" w:rsidRPr="00BE2E3F">
              <w:rPr>
                <w:rFonts w:eastAsia="Times New Roman" w:cs="Arial"/>
                <w:b/>
                <w:bCs/>
                <w:color w:val="215868" w:themeColor="accent5" w:themeShade="80"/>
                <w:lang w:eastAsia="es-CO"/>
              </w:rPr>
              <w:t>18.875</w:t>
            </w:r>
          </w:p>
        </w:tc>
        <w:tc>
          <w:tcPr>
            <w:tcW w:w="913" w:type="pct"/>
            <w:shd w:val="clear" w:color="auto" w:fill="D9D9D9" w:themeFill="background1" w:themeFillShade="D9"/>
            <w:noWrap/>
            <w:vAlign w:val="center"/>
          </w:tcPr>
          <w:p w:rsidR="00286C7E" w:rsidRPr="00BE2E3F" w:rsidRDefault="00286C7E" w:rsidP="00286C7E">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xml:space="preserve">$ </w:t>
            </w:r>
            <w:r w:rsidR="00804825" w:rsidRPr="00BE2E3F">
              <w:rPr>
                <w:rFonts w:eastAsia="Times New Roman" w:cs="Arial"/>
                <w:b/>
                <w:bCs/>
                <w:color w:val="215868" w:themeColor="accent5" w:themeShade="80"/>
                <w:lang w:eastAsia="es-CO"/>
              </w:rPr>
              <w:t>18.557</w:t>
            </w:r>
          </w:p>
        </w:tc>
        <w:tc>
          <w:tcPr>
            <w:tcW w:w="655" w:type="pct"/>
            <w:shd w:val="clear" w:color="auto" w:fill="D9D9D9" w:themeFill="background1" w:themeFillShade="D9"/>
            <w:noWrap/>
            <w:vAlign w:val="center"/>
          </w:tcPr>
          <w:p w:rsidR="00286C7E" w:rsidRPr="00BE2E3F" w:rsidRDefault="00804825" w:rsidP="00286C7E">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98.32</w:t>
            </w:r>
            <w:r w:rsidR="00286C7E" w:rsidRPr="00BE2E3F">
              <w:rPr>
                <w:rFonts w:eastAsia="Times New Roman" w:cs="Arial"/>
                <w:b/>
                <w:bCs/>
                <w:color w:val="215868" w:themeColor="accent5" w:themeShade="80"/>
                <w:lang w:eastAsia="es-CO"/>
              </w:rPr>
              <w:t>%</w:t>
            </w:r>
          </w:p>
        </w:tc>
      </w:tr>
      <w:tr w:rsidR="00804825" w:rsidRPr="00BE2E3F" w:rsidTr="00BE2E3F">
        <w:trPr>
          <w:trHeight w:val="977"/>
        </w:trPr>
        <w:tc>
          <w:tcPr>
            <w:tcW w:w="1088" w:type="pct"/>
            <w:shd w:val="clear" w:color="auto" w:fill="D9D9D9" w:themeFill="background1" w:themeFillShade="D9"/>
            <w:noWrap/>
            <w:vAlign w:val="center"/>
            <w:hideMark/>
          </w:tcPr>
          <w:p w:rsidR="00804825" w:rsidRPr="00BE2E3F" w:rsidRDefault="00804825" w:rsidP="00804825">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3.3.1.15.07.42</w:t>
            </w:r>
          </w:p>
        </w:tc>
        <w:tc>
          <w:tcPr>
            <w:tcW w:w="1478" w:type="pct"/>
            <w:shd w:val="clear" w:color="auto" w:fill="D9D9D9" w:themeFill="background1" w:themeFillShade="D9"/>
            <w:vAlign w:val="center"/>
            <w:hideMark/>
          </w:tcPr>
          <w:p w:rsidR="00804825" w:rsidRPr="00BE2E3F" w:rsidRDefault="00804825" w:rsidP="00804825">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Programa Transparencia, gestión pública y servicio a la ciudadanía</w:t>
            </w:r>
          </w:p>
        </w:tc>
        <w:tc>
          <w:tcPr>
            <w:tcW w:w="866" w:type="pct"/>
            <w:shd w:val="clear" w:color="auto" w:fill="D9D9D9" w:themeFill="background1" w:themeFillShade="D9"/>
            <w:noWrap/>
            <w:vAlign w:val="center"/>
          </w:tcPr>
          <w:p w:rsidR="00804825" w:rsidRPr="00BE2E3F" w:rsidRDefault="00804825" w:rsidP="0080482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$ 1.845</w:t>
            </w:r>
          </w:p>
        </w:tc>
        <w:tc>
          <w:tcPr>
            <w:tcW w:w="913" w:type="pct"/>
            <w:shd w:val="clear" w:color="auto" w:fill="D9D9D9" w:themeFill="background1" w:themeFillShade="D9"/>
            <w:noWrap/>
            <w:vAlign w:val="center"/>
          </w:tcPr>
          <w:p w:rsidR="00804825" w:rsidRPr="00BE2E3F" w:rsidRDefault="00804825" w:rsidP="0080482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$ 1.842</w:t>
            </w:r>
          </w:p>
        </w:tc>
        <w:tc>
          <w:tcPr>
            <w:tcW w:w="655" w:type="pct"/>
            <w:shd w:val="clear" w:color="auto" w:fill="D9D9D9" w:themeFill="background1" w:themeFillShade="D9"/>
            <w:noWrap/>
            <w:vAlign w:val="center"/>
          </w:tcPr>
          <w:p w:rsidR="00804825" w:rsidRPr="00BE2E3F" w:rsidRDefault="00804825" w:rsidP="0080482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99.8%</w:t>
            </w:r>
          </w:p>
        </w:tc>
      </w:tr>
      <w:tr w:rsidR="00286C7E" w:rsidRPr="00BE2E3F" w:rsidTr="00BE2E3F">
        <w:trPr>
          <w:trHeight w:val="1045"/>
        </w:trPr>
        <w:tc>
          <w:tcPr>
            <w:tcW w:w="1088" w:type="pct"/>
            <w:shd w:val="clear" w:color="auto" w:fill="D9D9D9" w:themeFill="background1" w:themeFillShade="D9"/>
            <w:noWrap/>
            <w:vAlign w:val="center"/>
            <w:hideMark/>
          </w:tcPr>
          <w:p w:rsidR="00286C7E" w:rsidRPr="00BE2E3F" w:rsidRDefault="00286C7E" w:rsidP="00286C7E">
            <w:pPr>
              <w:spacing w:after="0" w:line="240" w:lineRule="auto"/>
              <w:rPr>
                <w:rFonts w:eastAsia="Times New Roman" w:cs="Arial"/>
                <w:color w:val="215868" w:themeColor="accent5" w:themeShade="80"/>
                <w:lang w:eastAsia="es-CO"/>
              </w:rPr>
            </w:pPr>
            <w:r w:rsidRPr="00BE2E3F">
              <w:rPr>
                <w:rFonts w:eastAsia="Times New Roman" w:cs="Arial"/>
                <w:color w:val="215868" w:themeColor="accent5" w:themeShade="80"/>
                <w:lang w:eastAsia="es-CO"/>
              </w:rPr>
              <w:t>3.3.1.15.07.42.1180</w:t>
            </w:r>
          </w:p>
        </w:tc>
        <w:tc>
          <w:tcPr>
            <w:tcW w:w="1478" w:type="pct"/>
            <w:shd w:val="clear" w:color="auto" w:fill="D9D9D9" w:themeFill="background1" w:themeFillShade="D9"/>
            <w:vAlign w:val="center"/>
            <w:hideMark/>
          </w:tcPr>
          <w:p w:rsidR="00286C7E" w:rsidRPr="00BE2E3F" w:rsidRDefault="00286C7E" w:rsidP="00286C7E">
            <w:pPr>
              <w:spacing w:after="0" w:line="240" w:lineRule="auto"/>
              <w:rPr>
                <w:rFonts w:eastAsia="Times New Roman" w:cs="Arial"/>
                <w:color w:val="215868" w:themeColor="accent5" w:themeShade="80"/>
                <w:lang w:eastAsia="es-CO"/>
              </w:rPr>
            </w:pPr>
            <w:r w:rsidRPr="00BE2E3F">
              <w:rPr>
                <w:rFonts w:eastAsia="Times New Roman" w:cs="Arial"/>
                <w:color w:val="215868" w:themeColor="accent5" w:themeShade="80"/>
                <w:lang w:eastAsia="es-CO"/>
              </w:rPr>
              <w:t>Proyecto Afianzar una gestión pública efectiva</w:t>
            </w:r>
          </w:p>
        </w:tc>
        <w:tc>
          <w:tcPr>
            <w:tcW w:w="866" w:type="pct"/>
            <w:shd w:val="clear" w:color="auto" w:fill="D9D9D9" w:themeFill="background1" w:themeFillShade="D9"/>
            <w:noWrap/>
            <w:vAlign w:val="center"/>
          </w:tcPr>
          <w:p w:rsidR="00286C7E" w:rsidRPr="00BE2E3F" w:rsidRDefault="00286C7E" w:rsidP="00286C7E">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$ 1.8</w:t>
            </w:r>
            <w:r w:rsidR="00804825" w:rsidRPr="00BE2E3F">
              <w:rPr>
                <w:rFonts w:eastAsia="Times New Roman" w:cs="Arial"/>
                <w:b/>
                <w:bCs/>
                <w:color w:val="215868" w:themeColor="accent5" w:themeShade="80"/>
                <w:lang w:eastAsia="es-CO"/>
              </w:rPr>
              <w:t>45</w:t>
            </w:r>
          </w:p>
        </w:tc>
        <w:tc>
          <w:tcPr>
            <w:tcW w:w="913" w:type="pct"/>
            <w:shd w:val="clear" w:color="auto" w:fill="D9D9D9" w:themeFill="background1" w:themeFillShade="D9"/>
            <w:noWrap/>
            <w:vAlign w:val="center"/>
          </w:tcPr>
          <w:p w:rsidR="00286C7E" w:rsidRPr="00BE2E3F" w:rsidRDefault="00286C7E" w:rsidP="00286C7E">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w:t>
            </w:r>
            <w:r w:rsidR="00804825" w:rsidRPr="00BE2E3F">
              <w:rPr>
                <w:rFonts w:eastAsia="Times New Roman" w:cs="Arial"/>
                <w:b/>
                <w:bCs/>
                <w:color w:val="215868" w:themeColor="accent5" w:themeShade="80"/>
                <w:lang w:eastAsia="es-CO"/>
              </w:rPr>
              <w:t>841</w:t>
            </w:r>
          </w:p>
        </w:tc>
        <w:tc>
          <w:tcPr>
            <w:tcW w:w="655" w:type="pct"/>
            <w:shd w:val="clear" w:color="auto" w:fill="D9D9D9" w:themeFill="background1" w:themeFillShade="D9"/>
            <w:noWrap/>
            <w:vAlign w:val="center"/>
          </w:tcPr>
          <w:p w:rsidR="00286C7E" w:rsidRPr="00BE2E3F" w:rsidRDefault="00286C7E" w:rsidP="00286C7E">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9</w:t>
            </w:r>
            <w:r w:rsidR="00804825" w:rsidRPr="00BE2E3F">
              <w:rPr>
                <w:rFonts w:eastAsia="Times New Roman" w:cs="Arial"/>
                <w:b/>
                <w:bCs/>
                <w:color w:val="215868" w:themeColor="accent5" w:themeShade="80"/>
                <w:lang w:eastAsia="es-CO"/>
              </w:rPr>
              <w:t>9.8</w:t>
            </w:r>
            <w:r w:rsidRPr="00BE2E3F">
              <w:rPr>
                <w:rFonts w:eastAsia="Times New Roman" w:cs="Arial"/>
                <w:b/>
                <w:bCs/>
                <w:color w:val="215868" w:themeColor="accent5" w:themeShade="80"/>
                <w:lang w:eastAsia="es-CO"/>
              </w:rPr>
              <w:t>%</w:t>
            </w:r>
          </w:p>
        </w:tc>
      </w:tr>
      <w:tr w:rsidR="00272A71" w:rsidRPr="00BE2E3F" w:rsidTr="00BE2E3F">
        <w:trPr>
          <w:trHeight w:val="651"/>
        </w:trPr>
        <w:tc>
          <w:tcPr>
            <w:tcW w:w="1088" w:type="pct"/>
            <w:shd w:val="clear" w:color="auto" w:fill="D9D9D9" w:themeFill="background1" w:themeFillShade="D9"/>
            <w:noWrap/>
            <w:vAlign w:val="center"/>
            <w:hideMark/>
          </w:tcPr>
          <w:p w:rsidR="00D604A5" w:rsidRPr="00BE2E3F" w:rsidRDefault="00D604A5" w:rsidP="00D604A5">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3.3.1.15.07.44</w:t>
            </w:r>
          </w:p>
        </w:tc>
        <w:tc>
          <w:tcPr>
            <w:tcW w:w="1478" w:type="pct"/>
            <w:shd w:val="clear" w:color="auto" w:fill="D9D9D9" w:themeFill="background1" w:themeFillShade="D9"/>
            <w:vAlign w:val="center"/>
            <w:hideMark/>
          </w:tcPr>
          <w:p w:rsidR="00D604A5" w:rsidRPr="00BE2E3F" w:rsidRDefault="00D604A5" w:rsidP="00D604A5">
            <w:pPr>
              <w:spacing w:after="0" w:line="240" w:lineRule="auto"/>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Programa Gobierno y ciudadanía digital</w:t>
            </w:r>
          </w:p>
        </w:tc>
        <w:tc>
          <w:tcPr>
            <w:tcW w:w="866" w:type="pct"/>
            <w:shd w:val="clear" w:color="auto" w:fill="D9D9D9" w:themeFill="background1" w:themeFillShade="D9"/>
            <w:noWrap/>
            <w:vAlign w:val="center"/>
          </w:tcPr>
          <w:p w:rsidR="00D604A5" w:rsidRPr="00BE2E3F" w:rsidRDefault="00286C7E" w:rsidP="00D604A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xml:space="preserve">$ </w:t>
            </w:r>
            <w:r w:rsidR="00804825" w:rsidRPr="00BE2E3F">
              <w:rPr>
                <w:rFonts w:eastAsia="Times New Roman" w:cs="Arial"/>
                <w:b/>
                <w:bCs/>
                <w:color w:val="215868" w:themeColor="accent5" w:themeShade="80"/>
                <w:lang w:eastAsia="es-CO"/>
              </w:rPr>
              <w:t>17.030</w:t>
            </w:r>
          </w:p>
        </w:tc>
        <w:tc>
          <w:tcPr>
            <w:tcW w:w="913" w:type="pct"/>
            <w:shd w:val="clear" w:color="auto" w:fill="D9D9D9" w:themeFill="background1" w:themeFillShade="D9"/>
            <w:noWrap/>
            <w:vAlign w:val="center"/>
          </w:tcPr>
          <w:p w:rsidR="00D604A5" w:rsidRPr="00BE2E3F" w:rsidRDefault="00286C7E" w:rsidP="00D604A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xml:space="preserve">$ </w:t>
            </w:r>
            <w:r w:rsidR="00804825" w:rsidRPr="00BE2E3F">
              <w:rPr>
                <w:rFonts w:eastAsia="Times New Roman" w:cs="Arial"/>
                <w:b/>
                <w:bCs/>
                <w:color w:val="215868" w:themeColor="accent5" w:themeShade="80"/>
                <w:lang w:eastAsia="es-CO"/>
              </w:rPr>
              <w:t>16.715</w:t>
            </w:r>
          </w:p>
        </w:tc>
        <w:tc>
          <w:tcPr>
            <w:tcW w:w="655" w:type="pct"/>
            <w:shd w:val="clear" w:color="auto" w:fill="D9D9D9" w:themeFill="background1" w:themeFillShade="D9"/>
            <w:noWrap/>
            <w:vAlign w:val="center"/>
          </w:tcPr>
          <w:p w:rsidR="00D604A5" w:rsidRPr="00BE2E3F" w:rsidRDefault="00804825" w:rsidP="00D604A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98.16</w:t>
            </w:r>
            <w:r w:rsidR="00286C7E" w:rsidRPr="00BE2E3F">
              <w:rPr>
                <w:rFonts w:eastAsia="Times New Roman" w:cs="Arial"/>
                <w:b/>
                <w:bCs/>
                <w:color w:val="215868" w:themeColor="accent5" w:themeShade="80"/>
                <w:lang w:eastAsia="es-CO"/>
              </w:rPr>
              <w:t>%</w:t>
            </w:r>
          </w:p>
        </w:tc>
      </w:tr>
      <w:tr w:rsidR="00804825" w:rsidRPr="00BE2E3F" w:rsidTr="00BE2E3F">
        <w:trPr>
          <w:trHeight w:val="1302"/>
        </w:trPr>
        <w:tc>
          <w:tcPr>
            <w:tcW w:w="1088" w:type="pct"/>
            <w:shd w:val="clear" w:color="auto" w:fill="D9D9D9" w:themeFill="background1" w:themeFillShade="D9"/>
            <w:noWrap/>
            <w:vAlign w:val="center"/>
            <w:hideMark/>
          </w:tcPr>
          <w:p w:rsidR="00804825" w:rsidRPr="00BE2E3F" w:rsidRDefault="00804825" w:rsidP="00804825">
            <w:pPr>
              <w:spacing w:after="0" w:line="240" w:lineRule="auto"/>
              <w:rPr>
                <w:rFonts w:eastAsia="Times New Roman" w:cs="Arial"/>
                <w:color w:val="215868" w:themeColor="accent5" w:themeShade="80"/>
                <w:lang w:eastAsia="es-CO"/>
              </w:rPr>
            </w:pPr>
            <w:r w:rsidRPr="00BE2E3F">
              <w:rPr>
                <w:rFonts w:eastAsia="Times New Roman" w:cs="Arial"/>
                <w:color w:val="215868" w:themeColor="accent5" w:themeShade="80"/>
                <w:lang w:eastAsia="es-CO"/>
              </w:rPr>
              <w:t>3.3.1.15.07.44.0983</w:t>
            </w:r>
          </w:p>
        </w:tc>
        <w:tc>
          <w:tcPr>
            <w:tcW w:w="1478" w:type="pct"/>
            <w:shd w:val="clear" w:color="auto" w:fill="D9D9D9" w:themeFill="background1" w:themeFillShade="D9"/>
            <w:vAlign w:val="center"/>
            <w:hideMark/>
          </w:tcPr>
          <w:p w:rsidR="00804825" w:rsidRPr="00BE2E3F" w:rsidRDefault="00804825" w:rsidP="00804825">
            <w:pPr>
              <w:spacing w:after="0" w:line="240" w:lineRule="auto"/>
              <w:rPr>
                <w:rFonts w:eastAsia="Times New Roman" w:cs="Arial"/>
                <w:color w:val="215868" w:themeColor="accent5" w:themeShade="80"/>
                <w:lang w:eastAsia="es-CO"/>
              </w:rPr>
            </w:pPr>
            <w:r w:rsidRPr="00BE2E3F">
              <w:rPr>
                <w:rFonts w:eastAsia="Times New Roman" w:cs="Arial"/>
                <w:color w:val="215868" w:themeColor="accent5" w:themeShade="80"/>
                <w:lang w:eastAsia="es-CO"/>
              </w:rPr>
              <w:t>Proyecto Capturar, integrar y disponer información geográfica y catastral para la toma de decisiones</w:t>
            </w:r>
          </w:p>
        </w:tc>
        <w:tc>
          <w:tcPr>
            <w:tcW w:w="866" w:type="pct"/>
            <w:shd w:val="clear" w:color="auto" w:fill="D9D9D9" w:themeFill="background1" w:themeFillShade="D9"/>
            <w:noWrap/>
            <w:vAlign w:val="center"/>
          </w:tcPr>
          <w:p w:rsidR="00804825" w:rsidRPr="00BE2E3F" w:rsidRDefault="00804825" w:rsidP="0080482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$ 17.030</w:t>
            </w:r>
          </w:p>
        </w:tc>
        <w:tc>
          <w:tcPr>
            <w:tcW w:w="913" w:type="pct"/>
            <w:shd w:val="clear" w:color="auto" w:fill="D9D9D9" w:themeFill="background1" w:themeFillShade="D9"/>
            <w:noWrap/>
            <w:vAlign w:val="center"/>
          </w:tcPr>
          <w:p w:rsidR="00804825" w:rsidRPr="00BE2E3F" w:rsidRDefault="00804825" w:rsidP="0080482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$ 16.715</w:t>
            </w:r>
          </w:p>
        </w:tc>
        <w:tc>
          <w:tcPr>
            <w:tcW w:w="655" w:type="pct"/>
            <w:shd w:val="clear" w:color="auto" w:fill="D9D9D9" w:themeFill="background1" w:themeFillShade="D9"/>
            <w:noWrap/>
            <w:vAlign w:val="center"/>
          </w:tcPr>
          <w:p w:rsidR="00804825" w:rsidRPr="00BE2E3F" w:rsidRDefault="00804825" w:rsidP="00804825">
            <w:pPr>
              <w:spacing w:after="0" w:line="240" w:lineRule="auto"/>
              <w:jc w:val="right"/>
              <w:rPr>
                <w:rFonts w:eastAsia="Times New Roman" w:cs="Arial"/>
                <w:b/>
                <w:bCs/>
                <w:color w:val="215868" w:themeColor="accent5" w:themeShade="80"/>
                <w:lang w:eastAsia="es-CO"/>
              </w:rPr>
            </w:pPr>
            <w:r w:rsidRPr="00BE2E3F">
              <w:rPr>
                <w:rFonts w:eastAsia="Times New Roman" w:cs="Arial"/>
                <w:b/>
                <w:bCs/>
                <w:color w:val="215868" w:themeColor="accent5" w:themeShade="80"/>
                <w:lang w:eastAsia="es-CO"/>
              </w:rPr>
              <w:t>98.16%</w:t>
            </w:r>
          </w:p>
        </w:tc>
      </w:tr>
    </w:tbl>
    <w:p w:rsidR="00804825" w:rsidRPr="00F73D50" w:rsidRDefault="00804825" w:rsidP="008912A8">
      <w:pPr>
        <w:spacing w:after="0"/>
        <w:jc w:val="center"/>
        <w:rPr>
          <w:rFonts w:cstheme="minorHAnsi"/>
          <w:i/>
          <w:color w:val="215868" w:themeColor="accent5" w:themeShade="80"/>
          <w:sz w:val="18"/>
          <w:szCs w:val="20"/>
        </w:rPr>
      </w:pPr>
      <w:r w:rsidRPr="00F73D50">
        <w:rPr>
          <w:rFonts w:cstheme="minorHAnsi"/>
          <w:i/>
          <w:color w:val="215868" w:themeColor="accent5" w:themeShade="80"/>
          <w:sz w:val="18"/>
          <w:szCs w:val="20"/>
        </w:rPr>
        <w:t>Tabla. Ejecución presupuestal – Inversión Directa vigencia 2019</w:t>
      </w:r>
      <w:r w:rsidR="008F6A59" w:rsidRPr="00F73D50">
        <w:rPr>
          <w:rFonts w:cstheme="minorHAnsi"/>
          <w:i/>
          <w:color w:val="215868" w:themeColor="accent5" w:themeShade="80"/>
          <w:sz w:val="18"/>
          <w:szCs w:val="20"/>
        </w:rPr>
        <w:tab/>
      </w:r>
    </w:p>
    <w:p w:rsidR="0035472A" w:rsidRPr="00F73D50" w:rsidRDefault="008F6A59" w:rsidP="008912A8">
      <w:pPr>
        <w:spacing w:after="0"/>
        <w:jc w:val="center"/>
        <w:rPr>
          <w:rFonts w:cstheme="minorHAnsi"/>
          <w:i/>
          <w:color w:val="215868" w:themeColor="accent5" w:themeShade="80"/>
          <w:sz w:val="18"/>
          <w:szCs w:val="20"/>
        </w:rPr>
      </w:pPr>
      <w:r w:rsidRPr="00F73D50">
        <w:rPr>
          <w:rFonts w:cstheme="minorHAnsi"/>
          <w:i/>
          <w:color w:val="215868" w:themeColor="accent5" w:themeShade="80"/>
          <w:sz w:val="18"/>
          <w:szCs w:val="20"/>
        </w:rPr>
        <w:t>Fuente: PREDIS</w:t>
      </w:r>
    </w:p>
    <w:p w:rsidR="008912A8" w:rsidRPr="008912A8" w:rsidRDefault="008912A8" w:rsidP="008912A8">
      <w:pPr>
        <w:spacing w:after="0"/>
        <w:jc w:val="center"/>
        <w:rPr>
          <w:rFonts w:cstheme="minorHAnsi"/>
          <w:b/>
          <w:i/>
          <w:color w:val="215868" w:themeColor="accent5" w:themeShade="80"/>
          <w:sz w:val="18"/>
          <w:szCs w:val="20"/>
        </w:rPr>
      </w:pPr>
    </w:p>
    <w:p w:rsidR="00D604A5" w:rsidRPr="00E80164" w:rsidRDefault="00D604A5" w:rsidP="009E2852">
      <w:pPr>
        <w:pStyle w:val="Prrafodelista"/>
        <w:numPr>
          <w:ilvl w:val="1"/>
          <w:numId w:val="4"/>
        </w:numPr>
        <w:ind w:left="709"/>
        <w:rPr>
          <w:b/>
          <w:color w:val="215868" w:themeColor="accent5" w:themeShade="80"/>
          <w:sz w:val="28"/>
          <w:szCs w:val="28"/>
        </w:rPr>
      </w:pPr>
      <w:r w:rsidRPr="00E80164">
        <w:rPr>
          <w:b/>
          <w:color w:val="215868" w:themeColor="accent5" w:themeShade="80"/>
          <w:sz w:val="28"/>
          <w:szCs w:val="28"/>
        </w:rPr>
        <w:t>Avance físico y financiero de proyectos de inversión</w:t>
      </w:r>
    </w:p>
    <w:p w:rsidR="00D604A5" w:rsidRPr="00272A71" w:rsidRDefault="00D604A5" w:rsidP="00D604A5">
      <w:pPr>
        <w:jc w:val="both"/>
        <w:rPr>
          <w:rFonts w:cs="Arial"/>
          <w:color w:val="215868" w:themeColor="accent5" w:themeShade="80"/>
          <w:sz w:val="28"/>
          <w:szCs w:val="28"/>
        </w:rPr>
      </w:pPr>
      <w:r w:rsidRPr="00272A71">
        <w:rPr>
          <w:rFonts w:cs="Arial"/>
          <w:color w:val="215868" w:themeColor="accent5" w:themeShade="80"/>
          <w:sz w:val="28"/>
          <w:szCs w:val="28"/>
        </w:rPr>
        <w:t>La ejecución presupuestal y de las metas de los proyectos del plan de desarrollo Bogotá Mejor para todos, fue el siguiente:</w:t>
      </w:r>
    </w:p>
    <w:p w:rsidR="00D604A5" w:rsidRPr="00272A71" w:rsidRDefault="00D604A5" w:rsidP="00D604A5">
      <w:pPr>
        <w:jc w:val="both"/>
        <w:rPr>
          <w:rFonts w:cs="Arial"/>
          <w:color w:val="215868" w:themeColor="accent5" w:themeShade="80"/>
          <w:sz w:val="28"/>
          <w:szCs w:val="28"/>
        </w:rPr>
      </w:pPr>
    </w:p>
    <w:p w:rsidR="00D604A5" w:rsidRPr="00272A71" w:rsidRDefault="00D604A5" w:rsidP="00D604A5">
      <w:pPr>
        <w:jc w:val="both"/>
        <w:rPr>
          <w:rFonts w:cs="Arial"/>
          <w:color w:val="215868" w:themeColor="accent5" w:themeShade="80"/>
          <w:sz w:val="28"/>
          <w:szCs w:val="28"/>
        </w:rPr>
      </w:pPr>
    </w:p>
    <w:p w:rsidR="00D604A5" w:rsidRPr="001B5BAF" w:rsidRDefault="00D604A5" w:rsidP="009F0059">
      <w:pPr>
        <w:pStyle w:val="Descripcin"/>
        <w:spacing w:after="0"/>
        <w:ind w:left="360"/>
        <w:jc w:val="center"/>
        <w:rPr>
          <w:rFonts w:eastAsiaTheme="minorHAnsi" w:cstheme="minorHAnsi"/>
          <w:bCs w:val="0"/>
          <w:i/>
          <w:color w:val="215868" w:themeColor="accent5" w:themeShade="80"/>
          <w:szCs w:val="20"/>
          <w:lang w:eastAsia="en-US"/>
        </w:rPr>
      </w:pPr>
    </w:p>
    <w:tbl>
      <w:tblPr>
        <w:tblW w:w="93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03"/>
        <w:gridCol w:w="1840"/>
        <w:gridCol w:w="2455"/>
        <w:gridCol w:w="664"/>
        <w:gridCol w:w="928"/>
        <w:gridCol w:w="906"/>
        <w:gridCol w:w="848"/>
        <w:gridCol w:w="721"/>
        <w:gridCol w:w="687"/>
      </w:tblGrid>
      <w:tr w:rsidR="003C0DAA" w:rsidRPr="00BE2E3F" w:rsidTr="003C0DAA">
        <w:trPr>
          <w:trHeight w:val="247"/>
          <w:tblHeader/>
        </w:trPr>
        <w:tc>
          <w:tcPr>
            <w:tcW w:w="2143" w:type="dxa"/>
            <w:gridSpan w:val="2"/>
            <w:vMerge w:val="restart"/>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COMPONENTES DEL PROYECTO</w:t>
            </w:r>
          </w:p>
        </w:tc>
        <w:tc>
          <w:tcPr>
            <w:tcW w:w="2455" w:type="dxa"/>
            <w:vMerge w:val="restart"/>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METAS DEL PROYECTO</w:t>
            </w:r>
          </w:p>
        </w:tc>
        <w:tc>
          <w:tcPr>
            <w:tcW w:w="4754" w:type="dxa"/>
            <w:gridSpan w:val="6"/>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MAGNITUD DE META</w:t>
            </w:r>
          </w:p>
        </w:tc>
      </w:tr>
      <w:tr w:rsidR="003C0DAA" w:rsidRPr="00BE2E3F" w:rsidTr="003C0DAA">
        <w:trPr>
          <w:trHeight w:val="247"/>
          <w:tblHeader/>
        </w:trPr>
        <w:tc>
          <w:tcPr>
            <w:tcW w:w="2143" w:type="dxa"/>
            <w:gridSpan w:val="2"/>
            <w:vMerge/>
            <w:vAlign w:val="center"/>
          </w:tcPr>
          <w:p w:rsidR="003C0DAA" w:rsidRPr="00BE2E3F" w:rsidRDefault="003C0DAA" w:rsidP="00317716">
            <w:pPr>
              <w:spacing w:after="0" w:line="240" w:lineRule="auto"/>
              <w:rPr>
                <w:rFonts w:eastAsia="Times New Roman" w:cstheme="minorHAnsi"/>
                <w:b/>
                <w:bCs/>
                <w:color w:val="FFFFFF"/>
                <w:sz w:val="16"/>
                <w:szCs w:val="16"/>
                <w:lang w:eastAsia="es-CO"/>
              </w:rPr>
            </w:pPr>
          </w:p>
        </w:tc>
        <w:tc>
          <w:tcPr>
            <w:tcW w:w="2455" w:type="dxa"/>
            <w:vMerge/>
            <w:vAlign w:val="center"/>
          </w:tcPr>
          <w:p w:rsidR="003C0DAA" w:rsidRPr="00BE2E3F" w:rsidRDefault="003C0DAA" w:rsidP="00317716">
            <w:pPr>
              <w:spacing w:after="0" w:line="240" w:lineRule="auto"/>
              <w:rPr>
                <w:rFonts w:eastAsia="Times New Roman" w:cstheme="minorHAnsi"/>
                <w:b/>
                <w:bCs/>
                <w:color w:val="FFFFFF"/>
                <w:sz w:val="16"/>
                <w:szCs w:val="16"/>
                <w:lang w:eastAsia="es-CO"/>
              </w:rPr>
            </w:pPr>
          </w:p>
        </w:tc>
        <w:tc>
          <w:tcPr>
            <w:tcW w:w="664" w:type="dxa"/>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 </w:t>
            </w:r>
          </w:p>
        </w:tc>
        <w:tc>
          <w:tcPr>
            <w:tcW w:w="928" w:type="dxa"/>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2016</w:t>
            </w:r>
          </w:p>
        </w:tc>
        <w:tc>
          <w:tcPr>
            <w:tcW w:w="906" w:type="dxa"/>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2017</w:t>
            </w:r>
          </w:p>
        </w:tc>
        <w:tc>
          <w:tcPr>
            <w:tcW w:w="848" w:type="dxa"/>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2018</w:t>
            </w:r>
          </w:p>
        </w:tc>
        <w:tc>
          <w:tcPr>
            <w:tcW w:w="721" w:type="dxa"/>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2019</w:t>
            </w:r>
          </w:p>
        </w:tc>
        <w:tc>
          <w:tcPr>
            <w:tcW w:w="684" w:type="dxa"/>
            <w:shd w:val="clear" w:color="auto" w:fill="0070C0"/>
            <w:vAlign w:val="center"/>
          </w:tcPr>
          <w:p w:rsidR="003C0DAA" w:rsidRPr="00BE2E3F" w:rsidRDefault="003C0DAA"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2020</w:t>
            </w:r>
          </w:p>
        </w:tc>
      </w:tr>
      <w:tr w:rsidR="003C0DAA" w:rsidRPr="00BE2E3F" w:rsidTr="003C0DAA">
        <w:trPr>
          <w:trHeight w:val="822"/>
        </w:trPr>
        <w:tc>
          <w:tcPr>
            <w:tcW w:w="303" w:type="dxa"/>
            <w:vMerge w:val="restart"/>
            <w:shd w:val="clear" w:color="auto" w:fill="EDEDED"/>
            <w:noWrap/>
            <w:vAlign w:val="center"/>
            <w:hideMark/>
          </w:tcPr>
          <w:p w:rsidR="003C0DAA" w:rsidRPr="00BE2E3F" w:rsidRDefault="00BE2E3F"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w:t>
            </w:r>
          </w:p>
        </w:tc>
        <w:tc>
          <w:tcPr>
            <w:tcW w:w="1840" w:type="dxa"/>
            <w:vMerge w:val="restart"/>
            <w:shd w:val="clear" w:color="auto" w:fill="EDEDED"/>
            <w:vAlign w:val="center"/>
            <w:hideMark/>
          </w:tcPr>
          <w:p w:rsidR="003C0DAA" w:rsidRPr="00BE2E3F" w:rsidRDefault="00BE2E3F"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Información geoespacial al servicio del ciudadano (Infraestructura de Datos Espaciales de Bogotá - IDECA)</w:t>
            </w: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Incorporar 175 niveles de información geográfica de Bogotá y sus áreas de interés integrada en la plataforma IDECA incluyendo la información de infraestructura y redes, dinámica de construcción, población e inversión pública. </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15</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65</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175</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No aplica</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 </w:t>
            </w:r>
          </w:p>
        </w:tc>
      </w:tr>
      <w:tr w:rsidR="003C0DAA" w:rsidRPr="00BE2E3F" w:rsidTr="003C0DAA">
        <w:trPr>
          <w:trHeight w:val="822"/>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121</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208</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 </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 </w:t>
            </w:r>
          </w:p>
        </w:tc>
      </w:tr>
      <w:tr w:rsidR="003C0DAA" w:rsidRPr="00BE2E3F" w:rsidTr="003C0DAA">
        <w:trPr>
          <w:trHeight w:val="391"/>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Incrementar en 25.000 el número de usuarios del Portal de Mapas de Bogotá, con respecto a la vigencia anterior.</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25.000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25.000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25.000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25.000</w:t>
            </w:r>
          </w:p>
        </w:tc>
      </w:tr>
      <w:tr w:rsidR="003C0DAA" w:rsidRPr="00BE2E3F" w:rsidTr="003C0DAA">
        <w:trPr>
          <w:trHeight w:val="391"/>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19.725</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302.977</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425.224</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404"/>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Complementar en 100.000 hectáreas la información geográfica de sensores remotos disponible en la Infraestructura de Datos Espaciales de Bogotá.</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100.000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100.000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r>
      <w:tr w:rsidR="003C0DAA" w:rsidRPr="00BE2E3F" w:rsidTr="003C0DAA">
        <w:trPr>
          <w:trHeight w:val="404"/>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70.000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286"/>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Mantener actualizado el 30 % de las capas de información geográfica de la IDE de Bogotá</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30%</w:t>
            </w:r>
          </w:p>
        </w:tc>
      </w:tr>
      <w:tr w:rsidR="003C0DAA" w:rsidRPr="00BE2E3F" w:rsidTr="003C0DAA">
        <w:trPr>
          <w:trHeight w:val="286"/>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29.47%</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547"/>
        </w:trPr>
        <w:tc>
          <w:tcPr>
            <w:tcW w:w="303" w:type="dxa"/>
            <w:vMerge w:val="restart"/>
            <w:shd w:val="clear" w:color="auto" w:fill="EDEDED"/>
            <w:noWrap/>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w:t>
            </w:r>
          </w:p>
        </w:tc>
        <w:tc>
          <w:tcPr>
            <w:tcW w:w="1840"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Gestión de la Información catastral con fines multipropósito (Censo Inmobiliario de Bogotá)</w:t>
            </w: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Actualizar anualmente el 100% del área urbana respecto de los cambios identificados en los aspectos físicos, jurídicos y económicos de los predios.</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r>
      <w:tr w:rsidR="003C0DAA" w:rsidRPr="00BE2E3F" w:rsidTr="003C0DAA">
        <w:trPr>
          <w:trHeight w:val="547"/>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 </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417"/>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Actualizar el 100% del área rural respecto de los cambios identificados en los aspectos físicos, jurídicos y económicos de los predios.</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6%</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94%</w:t>
            </w:r>
          </w:p>
        </w:tc>
        <w:tc>
          <w:tcPr>
            <w:tcW w:w="848" w:type="dxa"/>
            <w:shd w:val="clear" w:color="auto" w:fill="EDEDED"/>
            <w:vAlign w:val="center"/>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721" w:type="dxa"/>
            <w:shd w:val="clear" w:color="auto" w:fill="EDEDED"/>
            <w:vAlign w:val="center"/>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684" w:type="dxa"/>
            <w:shd w:val="clear" w:color="auto" w:fill="EDEDED"/>
            <w:vAlign w:val="center"/>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r>
      <w:tr w:rsidR="003C0DAA" w:rsidRPr="00BE2E3F" w:rsidTr="003C0DAA">
        <w:trPr>
          <w:trHeight w:val="417"/>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6%</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94%</w:t>
            </w:r>
          </w:p>
        </w:tc>
        <w:tc>
          <w:tcPr>
            <w:tcW w:w="848" w:type="dxa"/>
            <w:shd w:val="clear" w:color="auto" w:fill="EDEDED"/>
            <w:vAlign w:val="center"/>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721" w:type="dxa"/>
            <w:shd w:val="clear" w:color="auto" w:fill="EDEDED"/>
            <w:vAlign w:val="center"/>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684" w:type="dxa"/>
            <w:shd w:val="clear" w:color="auto" w:fill="EDEDED"/>
            <w:vAlign w:val="center"/>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r>
      <w:tr w:rsidR="003C0DAA" w:rsidRPr="00BE2E3F" w:rsidTr="003C0DAA">
        <w:trPr>
          <w:trHeight w:val="378"/>
        </w:trPr>
        <w:tc>
          <w:tcPr>
            <w:tcW w:w="303" w:type="dxa"/>
            <w:vMerge w:val="restart"/>
            <w:shd w:val="clear" w:color="auto" w:fill="EDEDED"/>
            <w:noWrap/>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w:t>
            </w:r>
          </w:p>
        </w:tc>
        <w:tc>
          <w:tcPr>
            <w:tcW w:w="1840"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Fortalecimiento tecnológico</w:t>
            </w: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Contar con el 100% del hardware, software y conectividad que soporte la operación de la entidad.</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22%</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21,8%</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w:t>
            </w:r>
          </w:p>
        </w:tc>
      </w:tr>
      <w:tr w:rsidR="003C0DAA" w:rsidRPr="00BE2E3F" w:rsidTr="003C0DAA">
        <w:trPr>
          <w:trHeight w:val="378"/>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18%</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20,2%</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21,8%</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286"/>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Cumplir en un 100% los plazos establecidos por la estrategia de gobierno en línea.</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r>
      <w:tr w:rsidR="003C0DAA" w:rsidRPr="00BE2E3F" w:rsidTr="003C0DAA">
        <w:trPr>
          <w:trHeight w:val="286"/>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67,8%</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100%</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417"/>
        </w:trPr>
        <w:tc>
          <w:tcPr>
            <w:tcW w:w="303" w:type="dxa"/>
            <w:vMerge w:val="restart"/>
            <w:shd w:val="clear" w:color="auto" w:fill="EDEDED"/>
            <w:noWrap/>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4</w:t>
            </w:r>
          </w:p>
        </w:tc>
        <w:tc>
          <w:tcPr>
            <w:tcW w:w="1840"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Fortalecimiento de la gestión comercial en la Unidad</w:t>
            </w: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Generar $15.700 millones por concepto de ventas de productos y servicios en el periodo 2016-2020</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2.000</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3.000</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3.000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3.405</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300</w:t>
            </w:r>
          </w:p>
        </w:tc>
      </w:tr>
      <w:tr w:rsidR="003C0DAA" w:rsidRPr="00BE2E3F" w:rsidTr="003C0DAA">
        <w:trPr>
          <w:trHeight w:val="417"/>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2378</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3877</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5740</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5.019</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r w:rsidR="003C0DAA" w:rsidRPr="00BE2E3F" w:rsidTr="003C0DAA">
        <w:trPr>
          <w:trHeight w:val="560"/>
        </w:trPr>
        <w:tc>
          <w:tcPr>
            <w:tcW w:w="303" w:type="dxa"/>
            <w:vMerge w:val="restart"/>
            <w:shd w:val="clear" w:color="auto" w:fill="EDEDED"/>
            <w:noWrap/>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5</w:t>
            </w:r>
          </w:p>
        </w:tc>
        <w:tc>
          <w:tcPr>
            <w:tcW w:w="1840"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Catastro Bogotá comparte su experiencia contribuyendo en la implementación del catastro nacional con enfoque multipropósito</w:t>
            </w:r>
          </w:p>
        </w:tc>
        <w:tc>
          <w:tcPr>
            <w:tcW w:w="2455" w:type="dxa"/>
            <w:vMerge w:val="restart"/>
            <w:shd w:val="clear" w:color="auto" w:fill="EDEDED"/>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Compartir con 10 entes territoriales el conocimiento y capacidad de catastro para capturar, integrar y disponer información.</w:t>
            </w: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P</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w:t>
            </w:r>
          </w:p>
        </w:tc>
      </w:tr>
      <w:tr w:rsidR="003C0DAA" w:rsidRPr="00BE2E3F" w:rsidTr="003C0DAA">
        <w:trPr>
          <w:trHeight w:val="730"/>
        </w:trPr>
        <w:tc>
          <w:tcPr>
            <w:tcW w:w="303"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1840"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2455" w:type="dxa"/>
            <w:vMerge/>
            <w:vAlign w:val="center"/>
            <w:hideMark/>
          </w:tcPr>
          <w:p w:rsidR="003C0DAA" w:rsidRPr="00BE2E3F" w:rsidRDefault="003C0DAA" w:rsidP="00317716">
            <w:pPr>
              <w:spacing w:after="0" w:line="240" w:lineRule="auto"/>
              <w:rPr>
                <w:rFonts w:eastAsia="Times New Roman" w:cstheme="minorHAnsi"/>
                <w:color w:val="215868" w:themeColor="accent5" w:themeShade="80"/>
                <w:sz w:val="16"/>
                <w:szCs w:val="16"/>
                <w:lang w:eastAsia="es-CO"/>
              </w:rPr>
            </w:pPr>
          </w:p>
        </w:tc>
        <w:tc>
          <w:tcPr>
            <w:tcW w:w="664" w:type="dxa"/>
            <w:shd w:val="clear" w:color="auto" w:fill="EDEDED"/>
            <w:vAlign w:val="center"/>
            <w:hideMark/>
          </w:tcPr>
          <w:p w:rsidR="003C0DAA" w:rsidRPr="00BE2E3F" w:rsidRDefault="003C0DAA" w:rsidP="00317716">
            <w:pPr>
              <w:spacing w:after="0" w:line="240" w:lineRule="auto"/>
              <w:jc w:val="center"/>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E</w:t>
            </w:r>
          </w:p>
        </w:tc>
        <w:tc>
          <w:tcPr>
            <w:tcW w:w="92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w:t>
            </w:r>
          </w:p>
        </w:tc>
        <w:tc>
          <w:tcPr>
            <w:tcW w:w="906"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w:t>
            </w:r>
          </w:p>
        </w:tc>
        <w:tc>
          <w:tcPr>
            <w:tcW w:w="848"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w:t>
            </w:r>
          </w:p>
        </w:tc>
        <w:tc>
          <w:tcPr>
            <w:tcW w:w="721"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1</w:t>
            </w:r>
          </w:p>
        </w:tc>
        <w:tc>
          <w:tcPr>
            <w:tcW w:w="684" w:type="dxa"/>
            <w:shd w:val="clear" w:color="auto" w:fill="EDEDED"/>
            <w:vAlign w:val="center"/>
            <w:hideMark/>
          </w:tcPr>
          <w:p w:rsidR="003C0DAA" w:rsidRPr="00BE2E3F" w:rsidRDefault="003C0DAA"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r>
    </w:tbl>
    <w:p w:rsidR="00317716" w:rsidRPr="00F73D50" w:rsidRDefault="00317716" w:rsidP="008912A8">
      <w:pPr>
        <w:spacing w:after="0"/>
        <w:jc w:val="center"/>
        <w:rPr>
          <w:rFonts w:cstheme="minorHAnsi"/>
          <w:i/>
          <w:color w:val="215868" w:themeColor="accent5" w:themeShade="80"/>
          <w:sz w:val="18"/>
          <w:szCs w:val="20"/>
        </w:rPr>
      </w:pPr>
      <w:r w:rsidRPr="00F73D50">
        <w:rPr>
          <w:rFonts w:cstheme="minorHAnsi"/>
          <w:i/>
          <w:color w:val="215868" w:themeColor="accent5" w:themeShade="80"/>
          <w:sz w:val="18"/>
          <w:szCs w:val="20"/>
        </w:rPr>
        <w:t>Tabla. Avance físico proyecto de inversión 0983 - Capturar, integrar y disponer información geográfica y catastral para la toma de decisiones</w:t>
      </w:r>
    </w:p>
    <w:p w:rsidR="00317716" w:rsidRPr="00F73D50" w:rsidRDefault="00B024A5" w:rsidP="008912A8">
      <w:pPr>
        <w:spacing w:after="0"/>
        <w:jc w:val="center"/>
        <w:rPr>
          <w:rFonts w:cstheme="minorHAnsi"/>
          <w:i/>
          <w:color w:val="215868" w:themeColor="accent5" w:themeShade="80"/>
          <w:sz w:val="18"/>
          <w:szCs w:val="20"/>
        </w:rPr>
      </w:pPr>
      <w:r w:rsidRPr="00F73D50">
        <w:rPr>
          <w:rFonts w:cstheme="minorHAnsi"/>
          <w:i/>
          <w:color w:val="215868" w:themeColor="accent5" w:themeShade="80"/>
          <w:sz w:val="18"/>
          <w:szCs w:val="20"/>
        </w:rPr>
        <w:t xml:space="preserve">Fuente: SEGPLAN </w:t>
      </w:r>
    </w:p>
    <w:p w:rsidR="00317716" w:rsidRDefault="00317716">
      <w:pPr>
        <w:rPr>
          <w:rFonts w:cstheme="minorHAnsi"/>
          <w:b/>
          <w:i/>
          <w:color w:val="215868" w:themeColor="accent5" w:themeShade="80"/>
          <w:sz w:val="18"/>
          <w:szCs w:val="20"/>
        </w:rPr>
      </w:pPr>
      <w:r>
        <w:rPr>
          <w:rFonts w:cstheme="minorHAnsi"/>
          <w:b/>
          <w:i/>
          <w:color w:val="215868" w:themeColor="accent5" w:themeShade="80"/>
          <w:sz w:val="18"/>
          <w:szCs w:val="20"/>
        </w:rPr>
        <w:br w:type="page"/>
      </w:r>
    </w:p>
    <w:tbl>
      <w:tblPr>
        <w:tblW w:w="10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288"/>
        <w:gridCol w:w="1200"/>
        <w:gridCol w:w="1862"/>
        <w:gridCol w:w="480"/>
        <w:gridCol w:w="1490"/>
        <w:gridCol w:w="1233"/>
        <w:gridCol w:w="1319"/>
        <w:gridCol w:w="1134"/>
        <w:gridCol w:w="10"/>
        <w:gridCol w:w="1904"/>
      </w:tblGrid>
      <w:tr w:rsidR="00317716" w:rsidRPr="00BE2E3F" w:rsidTr="003D31C8">
        <w:trPr>
          <w:gridAfter w:val="1"/>
          <w:wAfter w:w="1904" w:type="dxa"/>
          <w:trHeight w:val="406"/>
          <w:tblHeader/>
        </w:trPr>
        <w:tc>
          <w:tcPr>
            <w:tcW w:w="1488" w:type="dxa"/>
            <w:gridSpan w:val="2"/>
            <w:vMerge w:val="restart"/>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COMPONENTES DEL PROYECTO</w:t>
            </w:r>
          </w:p>
        </w:tc>
        <w:tc>
          <w:tcPr>
            <w:tcW w:w="1862" w:type="dxa"/>
            <w:vMerge w:val="restart"/>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METAS DEL PROYECTO</w:t>
            </w:r>
          </w:p>
        </w:tc>
        <w:tc>
          <w:tcPr>
            <w:tcW w:w="5666" w:type="dxa"/>
            <w:gridSpan w:val="6"/>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RECURSOS VIGENCIA</w:t>
            </w:r>
          </w:p>
        </w:tc>
      </w:tr>
      <w:tr w:rsidR="00317716" w:rsidRPr="00BE2E3F" w:rsidTr="003D31C8">
        <w:trPr>
          <w:gridAfter w:val="2"/>
          <w:wAfter w:w="1914" w:type="dxa"/>
          <w:trHeight w:val="272"/>
          <w:tblHeader/>
        </w:trPr>
        <w:tc>
          <w:tcPr>
            <w:tcW w:w="1488" w:type="dxa"/>
            <w:gridSpan w:val="2"/>
            <w:vMerge/>
            <w:shd w:val="clear" w:color="auto" w:fill="0070C0"/>
            <w:vAlign w:val="center"/>
          </w:tcPr>
          <w:p w:rsidR="00317716" w:rsidRPr="00BE2E3F" w:rsidRDefault="00317716" w:rsidP="00317716">
            <w:pPr>
              <w:spacing w:after="0" w:line="240" w:lineRule="auto"/>
              <w:rPr>
                <w:rFonts w:eastAsia="Times New Roman" w:cstheme="minorHAnsi"/>
                <w:b/>
                <w:bCs/>
                <w:color w:val="FFFFFF"/>
                <w:sz w:val="16"/>
                <w:szCs w:val="16"/>
                <w:lang w:eastAsia="es-CO"/>
              </w:rPr>
            </w:pPr>
          </w:p>
        </w:tc>
        <w:tc>
          <w:tcPr>
            <w:tcW w:w="1862" w:type="dxa"/>
            <w:vMerge/>
            <w:shd w:val="clear" w:color="auto" w:fill="0070C0"/>
            <w:vAlign w:val="center"/>
          </w:tcPr>
          <w:p w:rsidR="00317716" w:rsidRPr="00BE2E3F" w:rsidRDefault="00317716" w:rsidP="00317716">
            <w:pPr>
              <w:spacing w:after="0" w:line="240" w:lineRule="auto"/>
              <w:rPr>
                <w:rFonts w:eastAsia="Times New Roman" w:cstheme="minorHAnsi"/>
                <w:b/>
                <w:bCs/>
                <w:color w:val="FFFFFF"/>
                <w:sz w:val="16"/>
                <w:szCs w:val="16"/>
                <w:lang w:eastAsia="es-CO"/>
              </w:rPr>
            </w:pPr>
          </w:p>
        </w:tc>
        <w:tc>
          <w:tcPr>
            <w:tcW w:w="1970" w:type="dxa"/>
            <w:gridSpan w:val="2"/>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 xml:space="preserve">              2016</w:t>
            </w:r>
          </w:p>
        </w:tc>
        <w:tc>
          <w:tcPr>
            <w:tcW w:w="1233" w:type="dxa"/>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2017</w:t>
            </w:r>
          </w:p>
        </w:tc>
        <w:tc>
          <w:tcPr>
            <w:tcW w:w="1319" w:type="dxa"/>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2018</w:t>
            </w:r>
          </w:p>
        </w:tc>
        <w:tc>
          <w:tcPr>
            <w:tcW w:w="1134" w:type="dxa"/>
            <w:shd w:val="clear" w:color="auto" w:fill="0070C0"/>
            <w:vAlign w:val="center"/>
          </w:tcPr>
          <w:p w:rsidR="00317716" w:rsidRPr="00BE2E3F" w:rsidRDefault="00317716" w:rsidP="00317716">
            <w:pPr>
              <w:spacing w:after="0" w:line="240" w:lineRule="auto"/>
              <w:jc w:val="center"/>
              <w:rPr>
                <w:rFonts w:eastAsia="Times New Roman" w:cstheme="minorHAnsi"/>
                <w:b/>
                <w:bCs/>
                <w:color w:val="FFFFFF"/>
                <w:sz w:val="16"/>
                <w:szCs w:val="16"/>
                <w:lang w:eastAsia="es-CO"/>
              </w:rPr>
            </w:pPr>
            <w:r w:rsidRPr="00BE2E3F">
              <w:rPr>
                <w:rFonts w:eastAsia="Times New Roman" w:cstheme="minorHAnsi"/>
                <w:b/>
                <w:bCs/>
                <w:color w:val="FFFFFF"/>
                <w:sz w:val="16"/>
                <w:szCs w:val="16"/>
                <w:lang w:eastAsia="es-CO"/>
              </w:rPr>
              <w:t>2019</w:t>
            </w:r>
          </w:p>
        </w:tc>
      </w:tr>
      <w:tr w:rsidR="003D31C8" w:rsidRPr="00BE2E3F" w:rsidTr="003D31C8">
        <w:trPr>
          <w:gridAfter w:val="2"/>
          <w:wAfter w:w="1914" w:type="dxa"/>
          <w:trHeight w:val="849"/>
        </w:trPr>
        <w:tc>
          <w:tcPr>
            <w:tcW w:w="288" w:type="dxa"/>
            <w:vMerge w:val="restart"/>
            <w:shd w:val="clear" w:color="auto" w:fill="EDEDED"/>
            <w:noWrap/>
            <w:vAlign w:val="center"/>
            <w:hideMark/>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1</w:t>
            </w:r>
          </w:p>
        </w:tc>
        <w:tc>
          <w:tcPr>
            <w:tcW w:w="1200" w:type="dxa"/>
            <w:vMerge w:val="restart"/>
            <w:shd w:val="clear" w:color="auto" w:fill="EDEDED"/>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Información geoespacial al servicio del ciudadano (Infraestructura de Datos Espaciales de Bogotá - IDECA)</w:t>
            </w:r>
          </w:p>
        </w:tc>
        <w:tc>
          <w:tcPr>
            <w:tcW w:w="1862" w:type="dxa"/>
            <w:vMerge w:val="restart"/>
            <w:shd w:val="clear" w:color="auto" w:fill="EDEDED"/>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Incorporar 175 niveles de información geográfica de Bogotá y sus áreas de interés integrada en la plataforma IDECA incluyendo la información de infraestructura y redes, dinámica de construcción, población e inversión pública. </w:t>
            </w: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sidR="003D31C8">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100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81 </w:t>
            </w:r>
          </w:p>
        </w:tc>
        <w:tc>
          <w:tcPr>
            <w:tcW w:w="1134" w:type="dxa"/>
            <w:shd w:val="clear" w:color="auto" w:fill="EDEDED"/>
            <w:vAlign w:val="center"/>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r>
      <w:tr w:rsidR="003D31C8" w:rsidRPr="00BE2E3F" w:rsidTr="003D31C8">
        <w:trPr>
          <w:gridAfter w:val="2"/>
          <w:wAfter w:w="1914" w:type="dxa"/>
          <w:trHeight w:val="1395"/>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40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81 </w:t>
            </w:r>
          </w:p>
        </w:tc>
        <w:tc>
          <w:tcPr>
            <w:tcW w:w="1134" w:type="dxa"/>
            <w:shd w:val="clear" w:color="auto" w:fill="EDEDED"/>
            <w:vAlign w:val="center"/>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r>
      <w:tr w:rsidR="003D31C8" w:rsidRPr="00BE2E3F" w:rsidTr="003D31C8">
        <w:trPr>
          <w:gridAfter w:val="2"/>
          <w:wAfter w:w="1914" w:type="dxa"/>
          <w:trHeight w:val="402"/>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restart"/>
            <w:shd w:val="clear" w:color="auto" w:fill="EDEDED"/>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Incrementar en 25.000 el número de usuarios del Portal de Mapas de Bogotá, con respecto a la vigencia anterior.</w:t>
            </w: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1.774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358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493</w:t>
            </w:r>
          </w:p>
        </w:tc>
      </w:tr>
      <w:tr w:rsidR="003D31C8" w:rsidRPr="00BE2E3F" w:rsidTr="003D31C8">
        <w:trPr>
          <w:gridAfter w:val="2"/>
          <w:wAfter w:w="1914" w:type="dxa"/>
          <w:trHeight w:val="854"/>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1.723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340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493</w:t>
            </w:r>
          </w:p>
        </w:tc>
      </w:tr>
      <w:tr w:rsidR="003D31C8" w:rsidRPr="00BE2E3F" w:rsidTr="003D31C8">
        <w:trPr>
          <w:gridAfter w:val="2"/>
          <w:wAfter w:w="1914" w:type="dxa"/>
          <w:trHeight w:val="416"/>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restart"/>
            <w:shd w:val="clear" w:color="auto" w:fill="EDEDED"/>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Complementar en 100.000 hectáreas la información geográfica de sensores remotos disponible en la Infraestructura de Datos Espaciales de Bogotá.</w:t>
            </w: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6.500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   </w:t>
            </w:r>
          </w:p>
        </w:tc>
      </w:tr>
      <w:tr w:rsidR="003D31C8" w:rsidRPr="00BE2E3F" w:rsidTr="003D31C8">
        <w:trPr>
          <w:gridAfter w:val="2"/>
          <w:wAfter w:w="1914" w:type="dxa"/>
          <w:trHeight w:val="1269"/>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5.481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   </w:t>
            </w:r>
          </w:p>
        </w:tc>
      </w:tr>
      <w:tr w:rsidR="003D31C8" w:rsidRPr="00BE2E3F" w:rsidTr="003D31C8">
        <w:trPr>
          <w:gridAfter w:val="2"/>
          <w:wAfter w:w="1914" w:type="dxa"/>
          <w:trHeight w:val="294"/>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restart"/>
            <w:shd w:val="clear" w:color="auto" w:fill="EDEDED"/>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Mantener actualizado el 30 % de las capas de información geográfica de la IDE de Bogotá</w:t>
            </w: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194 </w:t>
            </w:r>
          </w:p>
        </w:tc>
      </w:tr>
      <w:tr w:rsidR="003D31C8" w:rsidRPr="00BE2E3F" w:rsidTr="00D46AF9">
        <w:trPr>
          <w:gridAfter w:val="2"/>
          <w:wAfter w:w="1914" w:type="dxa"/>
          <w:trHeight w:val="838"/>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194 </w:t>
            </w:r>
          </w:p>
        </w:tc>
      </w:tr>
      <w:tr w:rsidR="003D31C8" w:rsidRPr="00BE2E3F" w:rsidTr="003D31C8">
        <w:trPr>
          <w:gridAfter w:val="2"/>
          <w:wAfter w:w="1914" w:type="dxa"/>
          <w:trHeight w:val="564"/>
        </w:trPr>
        <w:tc>
          <w:tcPr>
            <w:tcW w:w="288" w:type="dxa"/>
            <w:vMerge w:val="restart"/>
            <w:shd w:val="clear" w:color="auto" w:fill="EDEDED"/>
            <w:noWrap/>
            <w:vAlign w:val="center"/>
            <w:hideMark/>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2</w:t>
            </w:r>
          </w:p>
        </w:tc>
        <w:tc>
          <w:tcPr>
            <w:tcW w:w="1200" w:type="dxa"/>
            <w:vMerge w:val="restart"/>
            <w:shd w:val="clear" w:color="auto" w:fill="EDEDED"/>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Gestión de la Información catastral con fines multipropósito (Censo Inmobiliario de Bogotá)</w:t>
            </w:r>
          </w:p>
        </w:tc>
        <w:tc>
          <w:tcPr>
            <w:tcW w:w="1862" w:type="dxa"/>
            <w:vMerge w:val="restart"/>
            <w:shd w:val="clear" w:color="auto" w:fill="EDEDED"/>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Actualizar anualmente el 100% del área urbana respecto de los cambios identificados en los aspectos físicos, jurídicos y económicos de los predios.</w:t>
            </w: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1.708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4.451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6.059 </w:t>
            </w:r>
          </w:p>
        </w:tc>
        <w:tc>
          <w:tcPr>
            <w:tcW w:w="1134"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6.541 </w:t>
            </w:r>
          </w:p>
        </w:tc>
      </w:tr>
      <w:tr w:rsidR="003D31C8" w:rsidRPr="00BE2E3F" w:rsidTr="003D31C8">
        <w:trPr>
          <w:gridAfter w:val="2"/>
          <w:wAfter w:w="1914" w:type="dxa"/>
          <w:trHeight w:val="1111"/>
        </w:trPr>
        <w:tc>
          <w:tcPr>
            <w:tcW w:w="288"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1.493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3.940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4.566 </w:t>
            </w:r>
          </w:p>
        </w:tc>
        <w:tc>
          <w:tcPr>
            <w:tcW w:w="1134"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6.473 </w:t>
            </w:r>
          </w:p>
        </w:tc>
      </w:tr>
      <w:tr w:rsidR="003D31C8" w:rsidRPr="00BE2E3F" w:rsidTr="003D31C8">
        <w:trPr>
          <w:trHeight w:val="430"/>
        </w:trPr>
        <w:tc>
          <w:tcPr>
            <w:tcW w:w="288"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p>
        </w:tc>
        <w:tc>
          <w:tcPr>
            <w:tcW w:w="1862" w:type="dxa"/>
            <w:vMerge w:val="restart"/>
            <w:shd w:val="clear" w:color="auto" w:fill="EDEDED"/>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Actualizar el 100% del área rural respecto de los cambios identificados en los aspectos físicos, jurídicos y económicos de los predios.</w:t>
            </w: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79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471 </w:t>
            </w:r>
          </w:p>
        </w:tc>
        <w:tc>
          <w:tcPr>
            <w:tcW w:w="1319" w:type="dxa"/>
            <w:shd w:val="clear" w:color="auto" w:fill="EDEDED"/>
            <w:vAlign w:val="center"/>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1134" w:type="dxa"/>
            <w:shd w:val="clear" w:color="auto" w:fill="EDEDED"/>
            <w:vAlign w:val="center"/>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1914" w:type="dxa"/>
            <w:gridSpan w:val="2"/>
            <w:vAlign w:val="center"/>
          </w:tcPr>
          <w:p w:rsidR="00317716" w:rsidRPr="00BE2E3F" w:rsidRDefault="00317716" w:rsidP="00317716">
            <w:pPr>
              <w:spacing w:after="160" w:line="259" w:lineRule="auto"/>
              <w:rPr>
                <w:rFonts w:eastAsia="Times New Roman" w:cstheme="minorHAnsi"/>
                <w:color w:val="215868" w:themeColor="accent5" w:themeShade="80"/>
                <w:sz w:val="16"/>
                <w:szCs w:val="16"/>
                <w:lang w:eastAsia="es-CO"/>
              </w:rPr>
            </w:pPr>
          </w:p>
        </w:tc>
      </w:tr>
      <w:tr w:rsidR="003D31C8" w:rsidRPr="00BE2E3F" w:rsidTr="003D31C8">
        <w:trPr>
          <w:gridAfter w:val="2"/>
          <w:wAfter w:w="1914" w:type="dxa"/>
          <w:trHeight w:val="1120"/>
        </w:trPr>
        <w:tc>
          <w:tcPr>
            <w:tcW w:w="288"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79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471 </w:t>
            </w:r>
          </w:p>
        </w:tc>
        <w:tc>
          <w:tcPr>
            <w:tcW w:w="1319" w:type="dxa"/>
            <w:shd w:val="clear" w:color="auto" w:fill="EDEDED"/>
            <w:vAlign w:val="center"/>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c>
          <w:tcPr>
            <w:tcW w:w="1134" w:type="dxa"/>
            <w:shd w:val="clear" w:color="auto" w:fill="EDEDED"/>
            <w:vAlign w:val="center"/>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No aplica</w:t>
            </w:r>
          </w:p>
        </w:tc>
      </w:tr>
      <w:tr w:rsidR="003D31C8" w:rsidRPr="00BE2E3F" w:rsidTr="003D31C8">
        <w:trPr>
          <w:gridAfter w:val="2"/>
          <w:wAfter w:w="1914" w:type="dxa"/>
          <w:trHeight w:val="389"/>
        </w:trPr>
        <w:tc>
          <w:tcPr>
            <w:tcW w:w="288" w:type="dxa"/>
            <w:vMerge w:val="restart"/>
            <w:shd w:val="clear" w:color="auto" w:fill="EDEDED"/>
            <w:noWrap/>
            <w:vAlign w:val="center"/>
            <w:hideMark/>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3</w:t>
            </w:r>
          </w:p>
        </w:tc>
        <w:tc>
          <w:tcPr>
            <w:tcW w:w="1200" w:type="dxa"/>
            <w:vMerge w:val="restart"/>
            <w:shd w:val="clear" w:color="auto" w:fill="EDEDED"/>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Fortalecimiento tecnológico</w:t>
            </w:r>
          </w:p>
        </w:tc>
        <w:tc>
          <w:tcPr>
            <w:tcW w:w="1862" w:type="dxa"/>
            <w:vMerge w:val="restart"/>
            <w:shd w:val="clear" w:color="auto" w:fill="EDEDED"/>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Contar con el 100% del hardware, software y conectividad que soporte la operación de la entidad.</w:t>
            </w: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1.919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4.305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5.028 </w:t>
            </w:r>
          </w:p>
        </w:tc>
        <w:tc>
          <w:tcPr>
            <w:tcW w:w="1134"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6.125 </w:t>
            </w:r>
          </w:p>
        </w:tc>
      </w:tr>
      <w:tr w:rsidR="003D31C8" w:rsidRPr="00BE2E3F" w:rsidTr="003D31C8">
        <w:trPr>
          <w:gridAfter w:val="2"/>
          <w:wAfter w:w="1914" w:type="dxa"/>
          <w:trHeight w:val="858"/>
        </w:trPr>
        <w:tc>
          <w:tcPr>
            <w:tcW w:w="288"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1.352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3.526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4.689 </w:t>
            </w:r>
          </w:p>
        </w:tc>
        <w:tc>
          <w:tcPr>
            <w:tcW w:w="1134"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6.123 </w:t>
            </w:r>
          </w:p>
        </w:tc>
      </w:tr>
      <w:tr w:rsidR="003D31C8" w:rsidRPr="00BE2E3F" w:rsidTr="003D31C8">
        <w:trPr>
          <w:gridAfter w:val="2"/>
          <w:wAfter w:w="1914" w:type="dxa"/>
          <w:trHeight w:val="294"/>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restart"/>
            <w:shd w:val="clear" w:color="auto" w:fill="EDEDED"/>
            <w:vAlign w:val="center"/>
            <w:hideMark/>
          </w:tcPr>
          <w:p w:rsidR="003D31C8" w:rsidRDefault="003D31C8"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Cumplir en un 100% los plazos establecidos por la estrategia de gobierno en línea.</w:t>
            </w:r>
          </w:p>
          <w:p w:rsidR="00D46AF9" w:rsidRPr="00BE2E3F" w:rsidRDefault="00D46AF9"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559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592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211 </w:t>
            </w:r>
          </w:p>
        </w:tc>
      </w:tr>
      <w:tr w:rsidR="003D31C8" w:rsidRPr="00BE2E3F" w:rsidTr="003D31C8">
        <w:trPr>
          <w:gridAfter w:val="2"/>
          <w:wAfter w:w="1914" w:type="dxa"/>
          <w:trHeight w:val="294"/>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70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585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211 </w:t>
            </w:r>
          </w:p>
        </w:tc>
      </w:tr>
      <w:tr w:rsidR="003D31C8" w:rsidRPr="00BE2E3F" w:rsidTr="003D31C8">
        <w:trPr>
          <w:gridAfter w:val="2"/>
          <w:wAfter w:w="1914" w:type="dxa"/>
          <w:trHeight w:val="430"/>
        </w:trPr>
        <w:tc>
          <w:tcPr>
            <w:tcW w:w="288" w:type="dxa"/>
            <w:vMerge w:val="restart"/>
            <w:shd w:val="clear" w:color="auto" w:fill="EDEDED"/>
            <w:noWrap/>
            <w:vAlign w:val="center"/>
            <w:hideMark/>
          </w:tcPr>
          <w:p w:rsidR="003D31C8" w:rsidRPr="00BE2E3F" w:rsidRDefault="003D31C8" w:rsidP="003D31C8">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4</w:t>
            </w:r>
          </w:p>
        </w:tc>
        <w:tc>
          <w:tcPr>
            <w:tcW w:w="1200" w:type="dxa"/>
            <w:vMerge w:val="restart"/>
            <w:shd w:val="clear" w:color="auto" w:fill="EDEDED"/>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Fortalecimiento de la gestión comercial en la Unidad</w:t>
            </w:r>
          </w:p>
        </w:tc>
        <w:tc>
          <w:tcPr>
            <w:tcW w:w="1862" w:type="dxa"/>
            <w:vMerge w:val="restart"/>
            <w:shd w:val="clear" w:color="auto" w:fill="EDEDED"/>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Generar $15.700 millones por concepto de ventas de productos y servicios en el periodo 2016-2020</w:t>
            </w: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267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208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268 </w:t>
            </w:r>
          </w:p>
        </w:tc>
      </w:tr>
      <w:tr w:rsidR="003D31C8" w:rsidRPr="00BE2E3F" w:rsidTr="00D46AF9">
        <w:trPr>
          <w:gridAfter w:val="2"/>
          <w:wAfter w:w="1914" w:type="dxa"/>
          <w:trHeight w:val="837"/>
        </w:trPr>
        <w:tc>
          <w:tcPr>
            <w:tcW w:w="288"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D31C8" w:rsidRPr="00BE2E3F" w:rsidRDefault="003D31C8" w:rsidP="003D31C8">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D31C8" w:rsidRPr="00BE2E3F" w:rsidRDefault="003D31C8" w:rsidP="003D31C8">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w:t>
            </w:r>
            <w:r>
              <w:rPr>
                <w:rFonts w:eastAsia="Times New Roman" w:cstheme="minorHAnsi"/>
                <w:color w:val="215868" w:themeColor="accent5" w:themeShade="80"/>
                <w:sz w:val="16"/>
                <w:szCs w:val="16"/>
                <w:lang w:eastAsia="es-CO"/>
              </w:rPr>
              <w:t>0</w:t>
            </w:r>
            <w:r w:rsidRPr="00BE2E3F">
              <w:rPr>
                <w:rFonts w:eastAsia="Times New Roman" w:cstheme="minorHAnsi"/>
                <w:color w:val="215868" w:themeColor="accent5" w:themeShade="80"/>
                <w:sz w:val="16"/>
                <w:szCs w:val="16"/>
                <w:lang w:eastAsia="es-CO"/>
              </w:rPr>
              <w:t xml:space="preserve">  </w:t>
            </w:r>
          </w:p>
        </w:tc>
        <w:tc>
          <w:tcPr>
            <w:tcW w:w="1233"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67 </w:t>
            </w:r>
          </w:p>
        </w:tc>
        <w:tc>
          <w:tcPr>
            <w:tcW w:w="1319"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208 </w:t>
            </w:r>
          </w:p>
        </w:tc>
        <w:tc>
          <w:tcPr>
            <w:tcW w:w="1134" w:type="dxa"/>
            <w:shd w:val="clear" w:color="auto" w:fill="EDEDED"/>
            <w:vAlign w:val="center"/>
            <w:hideMark/>
          </w:tcPr>
          <w:p w:rsidR="003D31C8" w:rsidRPr="00BE2E3F" w:rsidRDefault="003D31C8" w:rsidP="003D31C8">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268 </w:t>
            </w:r>
          </w:p>
        </w:tc>
      </w:tr>
      <w:tr w:rsidR="003D31C8" w:rsidRPr="00BE2E3F" w:rsidTr="003D31C8">
        <w:trPr>
          <w:gridAfter w:val="2"/>
          <w:wAfter w:w="1914" w:type="dxa"/>
          <w:trHeight w:val="545"/>
        </w:trPr>
        <w:tc>
          <w:tcPr>
            <w:tcW w:w="288" w:type="dxa"/>
            <w:vMerge w:val="restart"/>
            <w:shd w:val="clear" w:color="auto" w:fill="EDEDED"/>
            <w:noWrap/>
            <w:vAlign w:val="center"/>
            <w:hideMark/>
          </w:tcPr>
          <w:p w:rsidR="00317716" w:rsidRPr="00BE2E3F" w:rsidRDefault="00317716" w:rsidP="00317716">
            <w:pPr>
              <w:spacing w:after="0" w:line="240" w:lineRule="auto"/>
              <w:jc w:val="center"/>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5</w:t>
            </w:r>
          </w:p>
        </w:tc>
        <w:tc>
          <w:tcPr>
            <w:tcW w:w="1200" w:type="dxa"/>
            <w:vMerge w:val="restart"/>
            <w:shd w:val="clear" w:color="auto" w:fill="EDEDED"/>
            <w:vAlign w:val="center"/>
            <w:hideMark/>
          </w:tcPr>
          <w:p w:rsidR="00317716" w:rsidRPr="00BE2E3F" w:rsidRDefault="00317716" w:rsidP="003D31C8">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Catastro Bogotá comparte su experiencia contribuyendo en la implementación del catastro nacional con enfoque multipropósito</w:t>
            </w:r>
          </w:p>
        </w:tc>
        <w:tc>
          <w:tcPr>
            <w:tcW w:w="1862" w:type="dxa"/>
            <w:vMerge w:val="restart"/>
            <w:shd w:val="clear" w:color="auto" w:fill="EDEDED"/>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Compartir con 10 entes territoriales el conocimiento y capacidad de catastro para capturar, integrar y disponer información.</w:t>
            </w: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P</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874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3.604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4.957 </w:t>
            </w:r>
          </w:p>
        </w:tc>
        <w:tc>
          <w:tcPr>
            <w:tcW w:w="1134"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3.198 </w:t>
            </w:r>
          </w:p>
        </w:tc>
      </w:tr>
      <w:tr w:rsidR="003D31C8" w:rsidRPr="00BE2E3F" w:rsidTr="00D46AF9">
        <w:trPr>
          <w:gridAfter w:val="2"/>
          <w:wAfter w:w="1914" w:type="dxa"/>
          <w:trHeight w:val="1706"/>
        </w:trPr>
        <w:tc>
          <w:tcPr>
            <w:tcW w:w="288"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1200"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1862" w:type="dxa"/>
            <w:vMerge/>
            <w:vAlign w:val="center"/>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p>
        </w:tc>
        <w:tc>
          <w:tcPr>
            <w:tcW w:w="480" w:type="dxa"/>
            <w:shd w:val="clear" w:color="auto" w:fill="EDEDED"/>
            <w:vAlign w:val="center"/>
          </w:tcPr>
          <w:p w:rsidR="00317716" w:rsidRPr="00BE2E3F" w:rsidRDefault="00317716" w:rsidP="00317716">
            <w:pPr>
              <w:spacing w:after="0" w:line="240" w:lineRule="auto"/>
              <w:jc w:val="center"/>
              <w:rPr>
                <w:rFonts w:eastAsia="Times New Roman" w:cstheme="minorHAnsi"/>
                <w:b/>
                <w:color w:val="215868" w:themeColor="accent5" w:themeShade="80"/>
                <w:sz w:val="16"/>
                <w:szCs w:val="16"/>
                <w:lang w:eastAsia="es-CO"/>
              </w:rPr>
            </w:pPr>
            <w:r w:rsidRPr="00BE2E3F">
              <w:rPr>
                <w:rFonts w:eastAsia="Times New Roman" w:cstheme="minorHAnsi"/>
                <w:b/>
                <w:color w:val="215868" w:themeColor="accent5" w:themeShade="80"/>
                <w:sz w:val="16"/>
                <w:szCs w:val="16"/>
                <w:lang w:eastAsia="es-CO"/>
              </w:rPr>
              <w:t>E</w:t>
            </w:r>
          </w:p>
        </w:tc>
        <w:tc>
          <w:tcPr>
            <w:tcW w:w="1490"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793 </w:t>
            </w:r>
          </w:p>
        </w:tc>
        <w:tc>
          <w:tcPr>
            <w:tcW w:w="1233"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2.318 </w:t>
            </w:r>
          </w:p>
        </w:tc>
        <w:tc>
          <w:tcPr>
            <w:tcW w:w="1319"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4.475 </w:t>
            </w:r>
          </w:p>
        </w:tc>
        <w:tc>
          <w:tcPr>
            <w:tcW w:w="1134" w:type="dxa"/>
            <w:shd w:val="clear" w:color="auto" w:fill="EDEDED"/>
            <w:vAlign w:val="center"/>
            <w:hideMark/>
          </w:tcPr>
          <w:p w:rsidR="00317716" w:rsidRPr="00BE2E3F" w:rsidRDefault="00317716" w:rsidP="00317716">
            <w:pPr>
              <w:spacing w:after="0" w:line="240" w:lineRule="auto"/>
              <w:jc w:val="right"/>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xml:space="preserve"> $     2.954 </w:t>
            </w:r>
          </w:p>
        </w:tc>
      </w:tr>
      <w:tr w:rsidR="003D31C8" w:rsidRPr="00BE2E3F" w:rsidTr="003D31C8">
        <w:trPr>
          <w:gridAfter w:val="2"/>
          <w:wAfter w:w="1914" w:type="dxa"/>
          <w:trHeight w:val="268"/>
        </w:trPr>
        <w:tc>
          <w:tcPr>
            <w:tcW w:w="288" w:type="dxa"/>
            <w:shd w:val="clear" w:color="auto" w:fill="EDEDED"/>
            <w:noWrap/>
            <w:vAlign w:val="bottom"/>
            <w:hideMark/>
          </w:tcPr>
          <w:p w:rsidR="00317716" w:rsidRPr="00BE2E3F" w:rsidRDefault="00317716"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c>
          <w:tcPr>
            <w:tcW w:w="3062" w:type="dxa"/>
            <w:gridSpan w:val="2"/>
            <w:shd w:val="clear" w:color="auto" w:fill="EDEDED"/>
            <w:noWrap/>
            <w:vAlign w:val="bottom"/>
            <w:hideMark/>
          </w:tcPr>
          <w:p w:rsidR="00317716" w:rsidRPr="00BE2E3F" w:rsidRDefault="00317716" w:rsidP="00317716">
            <w:pPr>
              <w:spacing w:after="0" w:line="240" w:lineRule="auto"/>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TOTAL PROGRAMADO</w:t>
            </w:r>
          </w:p>
        </w:tc>
        <w:tc>
          <w:tcPr>
            <w:tcW w:w="480" w:type="dxa"/>
            <w:shd w:val="clear" w:color="auto" w:fill="EDEDED"/>
          </w:tcPr>
          <w:p w:rsidR="00317716" w:rsidRPr="00BE2E3F" w:rsidRDefault="00317716" w:rsidP="00317716">
            <w:pPr>
              <w:spacing w:after="0" w:line="240" w:lineRule="auto"/>
              <w:rPr>
                <w:rFonts w:eastAsia="Times New Roman" w:cstheme="minorHAnsi"/>
                <w:b/>
                <w:bCs/>
                <w:color w:val="215868" w:themeColor="accent5" w:themeShade="80"/>
                <w:sz w:val="16"/>
                <w:szCs w:val="16"/>
                <w:lang w:eastAsia="es-CO"/>
              </w:rPr>
            </w:pPr>
          </w:p>
        </w:tc>
        <w:tc>
          <w:tcPr>
            <w:tcW w:w="1490" w:type="dxa"/>
            <w:shd w:val="clear" w:color="auto" w:fill="EDEDED"/>
            <w:noWrap/>
            <w:vAlign w:val="bottom"/>
            <w:hideMark/>
          </w:tcPr>
          <w:p w:rsidR="00317716" w:rsidRPr="00BE2E3F" w:rsidRDefault="00317716"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4.580 </w:t>
            </w:r>
          </w:p>
        </w:tc>
        <w:tc>
          <w:tcPr>
            <w:tcW w:w="1233" w:type="dxa"/>
            <w:shd w:val="clear" w:color="auto" w:fill="EDEDED"/>
            <w:noWrap/>
            <w:vAlign w:val="bottom"/>
            <w:hideMark/>
          </w:tcPr>
          <w:p w:rsidR="00317716" w:rsidRPr="00BE2E3F" w:rsidRDefault="00317716"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15.531 </w:t>
            </w:r>
          </w:p>
        </w:tc>
        <w:tc>
          <w:tcPr>
            <w:tcW w:w="1319" w:type="dxa"/>
            <w:shd w:val="clear" w:color="auto" w:fill="EDEDED"/>
            <w:noWrap/>
            <w:vAlign w:val="bottom"/>
            <w:hideMark/>
          </w:tcPr>
          <w:p w:rsidR="00317716" w:rsidRPr="00BE2E3F" w:rsidRDefault="00317716"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23.783 </w:t>
            </w:r>
          </w:p>
        </w:tc>
        <w:tc>
          <w:tcPr>
            <w:tcW w:w="1134" w:type="dxa"/>
            <w:shd w:val="clear" w:color="auto" w:fill="EDEDED"/>
            <w:noWrap/>
            <w:vAlign w:val="bottom"/>
            <w:hideMark/>
          </w:tcPr>
          <w:p w:rsidR="00317716" w:rsidRPr="00BE2E3F" w:rsidRDefault="00317716"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17.030 </w:t>
            </w:r>
          </w:p>
        </w:tc>
      </w:tr>
      <w:tr w:rsidR="003D31C8" w:rsidRPr="00BE2E3F" w:rsidTr="003D31C8">
        <w:trPr>
          <w:gridAfter w:val="2"/>
          <w:wAfter w:w="1914" w:type="dxa"/>
          <w:trHeight w:val="268"/>
        </w:trPr>
        <w:tc>
          <w:tcPr>
            <w:tcW w:w="288" w:type="dxa"/>
            <w:shd w:val="clear" w:color="auto" w:fill="EDEDED"/>
            <w:noWrap/>
            <w:vAlign w:val="bottom"/>
            <w:hideMark/>
          </w:tcPr>
          <w:p w:rsidR="003D31C8" w:rsidRPr="00BE2E3F" w:rsidRDefault="003D31C8" w:rsidP="00317716">
            <w:pPr>
              <w:spacing w:after="0" w:line="240" w:lineRule="auto"/>
              <w:rPr>
                <w:rFonts w:eastAsia="Times New Roman" w:cstheme="minorHAnsi"/>
                <w:color w:val="215868" w:themeColor="accent5" w:themeShade="80"/>
                <w:sz w:val="16"/>
                <w:szCs w:val="16"/>
                <w:lang w:eastAsia="es-CO"/>
              </w:rPr>
            </w:pPr>
            <w:r w:rsidRPr="00BE2E3F">
              <w:rPr>
                <w:rFonts w:eastAsia="Times New Roman" w:cstheme="minorHAnsi"/>
                <w:color w:val="215868" w:themeColor="accent5" w:themeShade="80"/>
                <w:sz w:val="16"/>
                <w:szCs w:val="16"/>
                <w:lang w:eastAsia="es-CO"/>
              </w:rPr>
              <w:t> </w:t>
            </w:r>
          </w:p>
        </w:tc>
        <w:tc>
          <w:tcPr>
            <w:tcW w:w="3062" w:type="dxa"/>
            <w:gridSpan w:val="2"/>
            <w:shd w:val="clear" w:color="auto" w:fill="EDEDED"/>
            <w:noWrap/>
            <w:vAlign w:val="bottom"/>
            <w:hideMark/>
          </w:tcPr>
          <w:p w:rsidR="003D31C8" w:rsidRPr="00BE2E3F" w:rsidRDefault="003D31C8" w:rsidP="00317716">
            <w:pPr>
              <w:spacing w:after="0" w:line="240" w:lineRule="auto"/>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TOTAL EJECUTADO</w:t>
            </w:r>
          </w:p>
        </w:tc>
        <w:tc>
          <w:tcPr>
            <w:tcW w:w="480" w:type="dxa"/>
            <w:shd w:val="clear" w:color="auto" w:fill="EDEDED"/>
          </w:tcPr>
          <w:p w:rsidR="003D31C8" w:rsidRPr="00BE2E3F" w:rsidRDefault="003D31C8" w:rsidP="00317716">
            <w:pPr>
              <w:spacing w:after="0" w:line="240" w:lineRule="auto"/>
              <w:rPr>
                <w:rFonts w:eastAsia="Times New Roman" w:cstheme="minorHAnsi"/>
                <w:b/>
                <w:bCs/>
                <w:color w:val="215868" w:themeColor="accent5" w:themeShade="80"/>
                <w:sz w:val="16"/>
                <w:szCs w:val="16"/>
                <w:lang w:eastAsia="es-CO"/>
              </w:rPr>
            </w:pPr>
          </w:p>
        </w:tc>
        <w:tc>
          <w:tcPr>
            <w:tcW w:w="1490" w:type="dxa"/>
            <w:shd w:val="clear" w:color="auto" w:fill="EDEDED"/>
            <w:noWrap/>
            <w:vAlign w:val="bottom"/>
            <w:hideMark/>
          </w:tcPr>
          <w:p w:rsidR="003D31C8" w:rsidRPr="00BE2E3F" w:rsidRDefault="003D31C8"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3.717 </w:t>
            </w:r>
          </w:p>
        </w:tc>
        <w:tc>
          <w:tcPr>
            <w:tcW w:w="1233" w:type="dxa"/>
            <w:shd w:val="clear" w:color="auto" w:fill="EDEDED"/>
            <w:noWrap/>
            <w:vAlign w:val="bottom"/>
            <w:hideMark/>
          </w:tcPr>
          <w:p w:rsidR="003D31C8" w:rsidRPr="00BE2E3F" w:rsidRDefault="003D31C8"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12.155 </w:t>
            </w:r>
          </w:p>
        </w:tc>
        <w:tc>
          <w:tcPr>
            <w:tcW w:w="1319" w:type="dxa"/>
            <w:shd w:val="clear" w:color="auto" w:fill="EDEDED"/>
            <w:noWrap/>
            <w:vAlign w:val="bottom"/>
            <w:hideMark/>
          </w:tcPr>
          <w:p w:rsidR="003D31C8" w:rsidRPr="00BE2E3F" w:rsidRDefault="003D31C8"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20.425 </w:t>
            </w:r>
          </w:p>
        </w:tc>
        <w:tc>
          <w:tcPr>
            <w:tcW w:w="1134" w:type="dxa"/>
            <w:shd w:val="clear" w:color="auto" w:fill="EDEDED"/>
            <w:noWrap/>
            <w:vAlign w:val="bottom"/>
            <w:hideMark/>
          </w:tcPr>
          <w:p w:rsidR="003D31C8" w:rsidRPr="00BE2E3F" w:rsidRDefault="003D31C8" w:rsidP="00317716">
            <w:pPr>
              <w:spacing w:after="0" w:line="240" w:lineRule="auto"/>
              <w:jc w:val="right"/>
              <w:rPr>
                <w:rFonts w:eastAsia="Times New Roman" w:cstheme="minorHAnsi"/>
                <w:b/>
                <w:bCs/>
                <w:color w:val="215868" w:themeColor="accent5" w:themeShade="80"/>
                <w:sz w:val="16"/>
                <w:szCs w:val="16"/>
                <w:lang w:eastAsia="es-CO"/>
              </w:rPr>
            </w:pPr>
            <w:r w:rsidRPr="00BE2E3F">
              <w:rPr>
                <w:rFonts w:eastAsia="Times New Roman" w:cstheme="minorHAnsi"/>
                <w:b/>
                <w:bCs/>
                <w:color w:val="215868" w:themeColor="accent5" w:themeShade="80"/>
                <w:sz w:val="16"/>
                <w:szCs w:val="16"/>
                <w:lang w:eastAsia="es-CO"/>
              </w:rPr>
              <w:t xml:space="preserve"> $   16.715 </w:t>
            </w:r>
          </w:p>
        </w:tc>
      </w:tr>
    </w:tbl>
    <w:p w:rsidR="003C0DAA" w:rsidRPr="00F73D50" w:rsidRDefault="003C0DAA" w:rsidP="003C0DAA">
      <w:pPr>
        <w:spacing w:after="0"/>
        <w:jc w:val="center"/>
        <w:rPr>
          <w:rFonts w:cstheme="minorHAnsi"/>
          <w:i/>
          <w:color w:val="215868" w:themeColor="accent5" w:themeShade="80"/>
          <w:sz w:val="18"/>
          <w:szCs w:val="20"/>
        </w:rPr>
      </w:pPr>
      <w:r w:rsidRPr="00F73D50">
        <w:rPr>
          <w:rFonts w:cstheme="minorHAnsi"/>
          <w:i/>
          <w:color w:val="215868" w:themeColor="accent5" w:themeShade="80"/>
          <w:sz w:val="18"/>
          <w:szCs w:val="20"/>
        </w:rPr>
        <w:t>Tabla. Avance financiero proyecto de inversión 0983 - Capturar, integrar y disponer información geográfica y catastral para la toma de decisiones</w:t>
      </w:r>
    </w:p>
    <w:p w:rsidR="003C0DAA" w:rsidRPr="00F73D50" w:rsidRDefault="003C0DAA" w:rsidP="003C0DAA">
      <w:pPr>
        <w:spacing w:after="0"/>
        <w:jc w:val="center"/>
        <w:rPr>
          <w:rFonts w:cstheme="minorHAnsi"/>
          <w:i/>
          <w:color w:val="215868" w:themeColor="accent5" w:themeShade="80"/>
          <w:sz w:val="18"/>
          <w:szCs w:val="20"/>
        </w:rPr>
      </w:pPr>
      <w:r w:rsidRPr="00F73D50">
        <w:rPr>
          <w:rFonts w:cstheme="minorHAnsi"/>
          <w:i/>
          <w:color w:val="215868" w:themeColor="accent5" w:themeShade="80"/>
          <w:sz w:val="18"/>
          <w:szCs w:val="20"/>
        </w:rPr>
        <w:t xml:space="preserve">Fuente: SEGPLAN. Cifras en millones de pesos corrientes. </w:t>
      </w:r>
    </w:p>
    <w:p w:rsidR="003C0DAA" w:rsidRDefault="003C0DAA">
      <w:pPr>
        <w:rPr>
          <w:rFonts w:cstheme="minorHAnsi"/>
          <w:b/>
          <w:i/>
          <w:color w:val="215868" w:themeColor="accent5" w:themeShade="80"/>
          <w:sz w:val="18"/>
          <w:szCs w:val="20"/>
        </w:rPr>
      </w:pPr>
      <w:r>
        <w:rPr>
          <w:rFonts w:cstheme="minorHAnsi"/>
          <w:b/>
          <w:i/>
          <w:color w:val="215868" w:themeColor="accent5" w:themeShade="80"/>
          <w:sz w:val="18"/>
          <w:szCs w:val="20"/>
        </w:rPr>
        <w:br w:type="page"/>
      </w:r>
    </w:p>
    <w:tbl>
      <w:tblPr>
        <w:tblW w:w="92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0"/>
        <w:gridCol w:w="1337"/>
        <w:gridCol w:w="1949"/>
        <w:gridCol w:w="734"/>
        <w:gridCol w:w="961"/>
        <w:gridCol w:w="897"/>
        <w:gridCol w:w="994"/>
        <w:gridCol w:w="1000"/>
        <w:gridCol w:w="996"/>
        <w:gridCol w:w="16"/>
      </w:tblGrid>
      <w:tr w:rsidR="003C0DAA" w:rsidRPr="00D46AF9" w:rsidTr="003C0DAA">
        <w:trPr>
          <w:trHeight w:val="269"/>
        </w:trPr>
        <w:tc>
          <w:tcPr>
            <w:tcW w:w="1748" w:type="dxa"/>
            <w:gridSpan w:val="2"/>
            <w:vMerge w:val="restart"/>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COMPONENTES DEL PROYECTO</w:t>
            </w:r>
          </w:p>
        </w:tc>
        <w:tc>
          <w:tcPr>
            <w:tcW w:w="1949" w:type="dxa"/>
            <w:vMerge w:val="restart"/>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METAS DEL PROYECTO</w:t>
            </w:r>
          </w:p>
        </w:tc>
        <w:tc>
          <w:tcPr>
            <w:tcW w:w="5597" w:type="dxa"/>
            <w:gridSpan w:val="7"/>
            <w:shd w:val="clear" w:color="auto" w:fill="0070C0"/>
            <w:vAlign w:val="center"/>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MAGNITUD DE META</w:t>
            </w:r>
          </w:p>
        </w:tc>
      </w:tr>
      <w:tr w:rsidR="003C0DAA" w:rsidRPr="00D46AF9" w:rsidTr="003C0DAA">
        <w:trPr>
          <w:gridAfter w:val="1"/>
          <w:wAfter w:w="15" w:type="dxa"/>
          <w:trHeight w:val="287"/>
        </w:trPr>
        <w:tc>
          <w:tcPr>
            <w:tcW w:w="1748" w:type="dxa"/>
            <w:gridSpan w:val="2"/>
            <w:vMerge/>
            <w:vAlign w:val="center"/>
            <w:hideMark/>
          </w:tcPr>
          <w:p w:rsidR="003C0DAA" w:rsidRPr="00D46AF9" w:rsidRDefault="003C0DAA" w:rsidP="003C0DAA">
            <w:pPr>
              <w:spacing w:after="0" w:line="240" w:lineRule="auto"/>
              <w:rPr>
                <w:rFonts w:eastAsia="Times New Roman" w:cstheme="minorHAnsi"/>
                <w:b/>
                <w:bCs/>
                <w:color w:val="FFFFFF"/>
                <w:sz w:val="16"/>
                <w:szCs w:val="16"/>
                <w:lang w:eastAsia="es-CO"/>
              </w:rPr>
            </w:pPr>
          </w:p>
        </w:tc>
        <w:tc>
          <w:tcPr>
            <w:tcW w:w="1949" w:type="dxa"/>
            <w:vMerge/>
            <w:vAlign w:val="center"/>
            <w:hideMark/>
          </w:tcPr>
          <w:p w:rsidR="003C0DAA" w:rsidRPr="00D46AF9" w:rsidRDefault="003C0DAA" w:rsidP="003C0DAA">
            <w:pPr>
              <w:spacing w:after="0" w:line="240" w:lineRule="auto"/>
              <w:rPr>
                <w:rFonts w:eastAsia="Times New Roman" w:cstheme="minorHAnsi"/>
                <w:b/>
                <w:bCs/>
                <w:color w:val="FFFFFF"/>
                <w:sz w:val="16"/>
                <w:szCs w:val="16"/>
                <w:lang w:eastAsia="es-CO"/>
              </w:rPr>
            </w:pPr>
          </w:p>
        </w:tc>
        <w:tc>
          <w:tcPr>
            <w:tcW w:w="1695" w:type="dxa"/>
            <w:gridSpan w:val="2"/>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               2016</w:t>
            </w:r>
          </w:p>
        </w:tc>
        <w:tc>
          <w:tcPr>
            <w:tcW w:w="897" w:type="dxa"/>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2017</w:t>
            </w:r>
          </w:p>
        </w:tc>
        <w:tc>
          <w:tcPr>
            <w:tcW w:w="994" w:type="dxa"/>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2018</w:t>
            </w:r>
          </w:p>
        </w:tc>
        <w:tc>
          <w:tcPr>
            <w:tcW w:w="1000" w:type="dxa"/>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2019</w:t>
            </w:r>
          </w:p>
        </w:tc>
        <w:tc>
          <w:tcPr>
            <w:tcW w:w="996" w:type="dxa"/>
            <w:shd w:val="clear" w:color="auto" w:fill="0070C0"/>
            <w:vAlign w:val="center"/>
            <w:hideMark/>
          </w:tcPr>
          <w:p w:rsidR="003C0DAA" w:rsidRPr="00D46AF9" w:rsidRDefault="003C0DAA" w:rsidP="003C0DAA">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2020</w:t>
            </w:r>
          </w:p>
        </w:tc>
      </w:tr>
      <w:tr w:rsidR="003C0DAA" w:rsidRPr="00D46AF9" w:rsidTr="003C0DAA">
        <w:trPr>
          <w:gridAfter w:val="1"/>
          <w:wAfter w:w="16" w:type="dxa"/>
          <w:trHeight w:val="412"/>
        </w:trPr>
        <w:tc>
          <w:tcPr>
            <w:tcW w:w="410" w:type="dxa"/>
            <w:vMerge w:val="restart"/>
            <w:shd w:val="clear" w:color="auto" w:fill="EDEDED"/>
            <w:noWrap/>
            <w:vAlign w:val="center"/>
            <w:hideMark/>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1338"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Gestión Integral y mejoramiento de Procesos</w:t>
            </w: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Implementar 4 esquemas de comunicación con grupos de interés</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r>
      <w:tr w:rsidR="003C0DAA" w:rsidRPr="00D46AF9" w:rsidTr="003C0DAA">
        <w:trPr>
          <w:gridAfter w:val="1"/>
          <w:wAfter w:w="16" w:type="dxa"/>
          <w:trHeight w:val="303"/>
        </w:trPr>
        <w:tc>
          <w:tcPr>
            <w:tcW w:w="410" w:type="dxa"/>
            <w:vMerge/>
            <w:vAlign w:val="center"/>
            <w:hideMark/>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1000" w:type="dxa"/>
            <w:shd w:val="clear" w:color="auto" w:fill="EDEDED"/>
            <w:vAlign w:val="center"/>
          </w:tcPr>
          <w:p w:rsidR="003C0DAA" w:rsidRPr="00D46AF9" w:rsidRDefault="003C0DAA" w:rsidP="003C0DAA">
            <w:pPr>
              <w:spacing w:after="0" w:line="240" w:lineRule="auto"/>
              <w:jc w:val="center"/>
              <w:rPr>
                <w:rFonts w:eastAsia="Calibri" w:cstheme="minorHAnsi"/>
                <w:color w:val="215868" w:themeColor="accent5" w:themeShade="80"/>
                <w:sz w:val="16"/>
                <w:szCs w:val="16"/>
              </w:rPr>
            </w:pPr>
            <w:r w:rsidRPr="00D46AF9">
              <w:rPr>
                <w:rFonts w:eastAsia="Times New Roman" w:cstheme="minorHAnsi"/>
                <w:color w:val="215868" w:themeColor="accent5" w:themeShade="80"/>
                <w:sz w:val="16"/>
                <w:szCs w:val="16"/>
                <w:lang w:eastAsia="es-CO"/>
              </w:rPr>
              <w:t>1</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r>
      <w:tr w:rsidR="003C0DAA" w:rsidRPr="00D46AF9" w:rsidTr="003C0DAA">
        <w:trPr>
          <w:gridAfter w:val="1"/>
          <w:wAfter w:w="16" w:type="dxa"/>
          <w:trHeight w:val="362"/>
        </w:trPr>
        <w:tc>
          <w:tcPr>
            <w:tcW w:w="410"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Implementar al 100% el Sistema Integrado de Gestión</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70%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100%</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r>
      <w:tr w:rsidR="003C0DAA" w:rsidRPr="00D46AF9" w:rsidTr="003C0DAA">
        <w:trPr>
          <w:gridAfter w:val="1"/>
          <w:wAfter w:w="16" w:type="dxa"/>
          <w:trHeight w:val="217"/>
        </w:trPr>
        <w:tc>
          <w:tcPr>
            <w:tcW w:w="410"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70%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100%</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No aplica </w:t>
            </w:r>
          </w:p>
        </w:tc>
      </w:tr>
      <w:tr w:rsidR="003C0DAA" w:rsidRPr="00D46AF9" w:rsidTr="003C0DAA">
        <w:trPr>
          <w:gridAfter w:val="1"/>
          <w:wAfter w:w="16" w:type="dxa"/>
          <w:trHeight w:val="362"/>
        </w:trPr>
        <w:tc>
          <w:tcPr>
            <w:tcW w:w="410"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Mantener 1 Sistema de Gestión Integral en la entidad</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r>
      <w:tr w:rsidR="003C0DAA" w:rsidRPr="00D46AF9" w:rsidTr="003C0DAA">
        <w:trPr>
          <w:gridAfter w:val="1"/>
          <w:wAfter w:w="16" w:type="dxa"/>
          <w:trHeight w:val="265"/>
        </w:trPr>
        <w:tc>
          <w:tcPr>
            <w:tcW w:w="410"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No aplica </w:t>
            </w:r>
          </w:p>
        </w:tc>
      </w:tr>
      <w:tr w:rsidR="003C0DAA" w:rsidRPr="00D46AF9" w:rsidTr="003C0DAA">
        <w:trPr>
          <w:gridAfter w:val="1"/>
          <w:wAfter w:w="16" w:type="dxa"/>
          <w:trHeight w:val="362"/>
        </w:trPr>
        <w:tc>
          <w:tcPr>
            <w:tcW w:w="410" w:type="dxa"/>
            <w:vMerge/>
            <w:vAlign w:val="center"/>
            <w:hideMark/>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Automatizar 6 procedimientos que apoyan la misión de la entidad</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2,33</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3</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No aplica </w:t>
            </w:r>
          </w:p>
        </w:tc>
      </w:tr>
      <w:tr w:rsidR="003C0DAA" w:rsidRPr="00D46AF9" w:rsidTr="003C0DAA">
        <w:trPr>
          <w:gridAfter w:val="1"/>
          <w:wAfter w:w="16" w:type="dxa"/>
          <w:trHeight w:val="261"/>
        </w:trPr>
        <w:tc>
          <w:tcPr>
            <w:tcW w:w="410" w:type="dxa"/>
            <w:vMerge/>
            <w:vAlign w:val="center"/>
            <w:hideMark/>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0,67</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2,33</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2,98</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No aplica </w:t>
            </w:r>
          </w:p>
        </w:tc>
      </w:tr>
      <w:tr w:rsidR="003C0DAA" w:rsidRPr="00D46AF9" w:rsidTr="003C0DAA">
        <w:trPr>
          <w:gridAfter w:val="1"/>
          <w:wAfter w:w="16" w:type="dxa"/>
          <w:trHeight w:val="265"/>
        </w:trPr>
        <w:tc>
          <w:tcPr>
            <w:tcW w:w="410" w:type="dxa"/>
            <w:vMerge/>
            <w:vAlign w:val="center"/>
            <w:hideMark/>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Gestionar el 100 % del plan de adecuación y sostenibilidad SIG - MIPG</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N.A</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 N.A</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 N.A</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100%</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100%</w:t>
            </w:r>
          </w:p>
        </w:tc>
      </w:tr>
      <w:tr w:rsidR="003C0DAA" w:rsidRPr="00D46AF9" w:rsidTr="003C0DAA">
        <w:trPr>
          <w:gridAfter w:val="1"/>
          <w:wAfter w:w="16" w:type="dxa"/>
          <w:trHeight w:val="265"/>
        </w:trPr>
        <w:tc>
          <w:tcPr>
            <w:tcW w:w="410" w:type="dxa"/>
            <w:vMerge/>
            <w:vAlign w:val="center"/>
            <w:hideMark/>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 N.A</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 N.A</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 N.A</w:t>
            </w:r>
          </w:p>
        </w:tc>
        <w:tc>
          <w:tcPr>
            <w:tcW w:w="1000" w:type="dxa"/>
            <w:shd w:val="clear" w:color="auto" w:fill="EDEDED"/>
            <w:vAlign w:val="center"/>
          </w:tcPr>
          <w:p w:rsidR="003C0DAA" w:rsidRPr="00D46AF9" w:rsidRDefault="003C0DAA" w:rsidP="003C0DAA">
            <w:pPr>
              <w:spacing w:after="0" w:line="240" w:lineRule="auto"/>
              <w:jc w:val="center"/>
              <w:rPr>
                <w:rFonts w:eastAsia="Calibri" w:cstheme="minorHAnsi"/>
                <w:color w:val="215868" w:themeColor="accent5" w:themeShade="80"/>
                <w:sz w:val="16"/>
                <w:szCs w:val="16"/>
              </w:rPr>
            </w:pPr>
            <w:r w:rsidRPr="00D46AF9">
              <w:rPr>
                <w:rFonts w:eastAsia="Times New Roman" w:cstheme="minorHAnsi"/>
                <w:color w:val="215868" w:themeColor="accent5" w:themeShade="80"/>
                <w:sz w:val="16"/>
                <w:szCs w:val="16"/>
                <w:lang w:eastAsia="es-CO"/>
              </w:rPr>
              <w:t>99,1%</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r>
      <w:tr w:rsidR="003C0DAA" w:rsidRPr="00D46AF9" w:rsidTr="003C0DAA">
        <w:trPr>
          <w:gridAfter w:val="1"/>
          <w:wAfter w:w="16" w:type="dxa"/>
          <w:trHeight w:val="507"/>
        </w:trPr>
        <w:tc>
          <w:tcPr>
            <w:tcW w:w="410" w:type="dxa"/>
            <w:vMerge w:val="restart"/>
            <w:shd w:val="clear" w:color="auto" w:fill="EDEDED"/>
            <w:noWrap/>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w:t>
            </w:r>
          </w:p>
        </w:tc>
        <w:tc>
          <w:tcPr>
            <w:tcW w:w="1338"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Atención al Ciudadano</w:t>
            </w: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Implementar al 100 % solución tecnológica para la atención de los requerimientos de los ciudadanos</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15%</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41%</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50%</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r>
      <w:tr w:rsidR="003C0DAA" w:rsidRPr="00D46AF9" w:rsidTr="003C0DAA">
        <w:trPr>
          <w:gridAfter w:val="1"/>
          <w:wAfter w:w="16" w:type="dxa"/>
          <w:trHeight w:val="361"/>
        </w:trPr>
        <w:tc>
          <w:tcPr>
            <w:tcW w:w="410" w:type="dxa"/>
            <w:vMerge/>
            <w:vAlign w:val="center"/>
            <w:hideMark/>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9%</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41%</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50%</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No aplica </w:t>
            </w:r>
          </w:p>
        </w:tc>
      </w:tr>
      <w:tr w:rsidR="003C0DAA" w:rsidRPr="00D46AF9" w:rsidTr="003C0DAA">
        <w:trPr>
          <w:gridAfter w:val="1"/>
          <w:wAfter w:w="16" w:type="dxa"/>
          <w:trHeight w:val="385"/>
        </w:trPr>
        <w:tc>
          <w:tcPr>
            <w:tcW w:w="410" w:type="dxa"/>
            <w:vMerge/>
            <w:vAlign w:val="center"/>
            <w:hideMark/>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Mejorar en 30 % el nivel de confianza ciudadana en la entidad</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5%</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5%</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w:t>
            </w:r>
          </w:p>
        </w:tc>
      </w:tr>
      <w:tr w:rsidR="003C0DAA" w:rsidRPr="00D46AF9" w:rsidTr="003C0DAA">
        <w:trPr>
          <w:gridAfter w:val="1"/>
          <w:wAfter w:w="16" w:type="dxa"/>
          <w:trHeight w:val="385"/>
        </w:trPr>
        <w:tc>
          <w:tcPr>
            <w:tcW w:w="410" w:type="dxa"/>
            <w:vMerge/>
            <w:vAlign w:val="center"/>
            <w:hideMark/>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5%</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5%</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10%</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r>
      <w:tr w:rsidR="003C0DAA" w:rsidRPr="00D46AF9" w:rsidTr="003C0DAA">
        <w:trPr>
          <w:gridAfter w:val="1"/>
          <w:wAfter w:w="16" w:type="dxa"/>
          <w:trHeight w:val="350"/>
        </w:trPr>
        <w:tc>
          <w:tcPr>
            <w:tcW w:w="410" w:type="dxa"/>
            <w:vMerge/>
            <w:noWrap/>
            <w:vAlign w:val="center"/>
            <w:hideMark/>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restart"/>
            <w:shd w:val="clear" w:color="auto" w:fill="EDEDED"/>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Fortalecer 4 espacios de participación ciudadana en el Distrito</w:t>
            </w: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P</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No aplica</w:t>
            </w:r>
          </w:p>
        </w:tc>
      </w:tr>
      <w:tr w:rsidR="003C0DAA" w:rsidRPr="00D46AF9" w:rsidTr="003C0DAA">
        <w:trPr>
          <w:gridAfter w:val="1"/>
          <w:wAfter w:w="16" w:type="dxa"/>
          <w:trHeight w:val="350"/>
        </w:trPr>
        <w:tc>
          <w:tcPr>
            <w:tcW w:w="410" w:type="dxa"/>
            <w:vMerge/>
            <w:vAlign w:val="center"/>
            <w:hideMark/>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338"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1949" w:type="dxa"/>
            <w:vMerge/>
            <w:vAlign w:val="center"/>
          </w:tcPr>
          <w:p w:rsidR="003C0DAA" w:rsidRPr="00D46AF9" w:rsidRDefault="003C0DAA" w:rsidP="003C0DAA">
            <w:pPr>
              <w:spacing w:after="0" w:line="240" w:lineRule="auto"/>
              <w:rPr>
                <w:rFonts w:eastAsia="Times New Roman" w:cstheme="minorHAnsi"/>
                <w:color w:val="215868" w:themeColor="accent5" w:themeShade="80"/>
                <w:sz w:val="16"/>
                <w:szCs w:val="16"/>
                <w:lang w:eastAsia="es-CO"/>
              </w:rPr>
            </w:pPr>
          </w:p>
        </w:tc>
        <w:tc>
          <w:tcPr>
            <w:tcW w:w="734" w:type="dxa"/>
            <w:shd w:val="clear" w:color="auto" w:fill="EDEDED"/>
            <w:vAlign w:val="center"/>
          </w:tcPr>
          <w:p w:rsidR="003C0DAA" w:rsidRPr="00D46AF9" w:rsidRDefault="003C0DAA" w:rsidP="003C0DAA">
            <w:pPr>
              <w:spacing w:after="0" w:line="240" w:lineRule="auto"/>
              <w:jc w:val="center"/>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E</w:t>
            </w:r>
          </w:p>
        </w:tc>
        <w:tc>
          <w:tcPr>
            <w:tcW w:w="96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0</w:t>
            </w:r>
          </w:p>
        </w:tc>
        <w:tc>
          <w:tcPr>
            <w:tcW w:w="897"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4"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w:t>
            </w:r>
          </w:p>
        </w:tc>
        <w:tc>
          <w:tcPr>
            <w:tcW w:w="1000"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996" w:type="dxa"/>
            <w:shd w:val="clear" w:color="auto" w:fill="EDEDED"/>
            <w:vAlign w:val="center"/>
          </w:tcPr>
          <w:p w:rsidR="003C0DAA" w:rsidRPr="00D46AF9" w:rsidRDefault="003C0DAA" w:rsidP="003C0DAA">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xml:space="preserve">No aplica </w:t>
            </w:r>
          </w:p>
        </w:tc>
      </w:tr>
    </w:tbl>
    <w:p w:rsidR="003C0DAA" w:rsidRPr="00D46AF9" w:rsidRDefault="003C0DAA" w:rsidP="003C0DAA">
      <w:pPr>
        <w:spacing w:after="0"/>
        <w:jc w:val="center"/>
        <w:rPr>
          <w:rFonts w:cstheme="minorHAnsi"/>
          <w:i/>
          <w:color w:val="215868" w:themeColor="accent5" w:themeShade="80"/>
          <w:sz w:val="18"/>
          <w:szCs w:val="20"/>
        </w:rPr>
      </w:pPr>
      <w:r w:rsidRPr="00D46AF9">
        <w:rPr>
          <w:rFonts w:cstheme="minorHAnsi"/>
          <w:i/>
          <w:color w:val="215868" w:themeColor="accent5" w:themeShade="80"/>
          <w:sz w:val="18"/>
          <w:szCs w:val="20"/>
        </w:rPr>
        <w:t xml:space="preserve">Tabla. Avance físico proyecto de inversión 1180 – Afianzar una gestión pública efectiva </w:t>
      </w:r>
    </w:p>
    <w:p w:rsidR="00C127CB" w:rsidRPr="00D46AF9" w:rsidRDefault="003C0DAA" w:rsidP="003C0DAA">
      <w:pPr>
        <w:spacing w:after="0"/>
        <w:jc w:val="center"/>
        <w:rPr>
          <w:rFonts w:cstheme="minorHAnsi"/>
          <w:i/>
          <w:color w:val="215868" w:themeColor="accent5" w:themeShade="80"/>
          <w:sz w:val="18"/>
          <w:szCs w:val="20"/>
        </w:rPr>
      </w:pPr>
      <w:r w:rsidRPr="00D46AF9">
        <w:rPr>
          <w:rFonts w:cstheme="minorHAnsi"/>
          <w:i/>
          <w:color w:val="215868" w:themeColor="accent5" w:themeShade="80"/>
          <w:sz w:val="18"/>
          <w:szCs w:val="20"/>
        </w:rPr>
        <w:t xml:space="preserve">Fuente: SEGPLAN </w:t>
      </w:r>
    </w:p>
    <w:p w:rsidR="00C127CB" w:rsidRDefault="00C127CB">
      <w:pPr>
        <w:rPr>
          <w:rFonts w:cstheme="minorHAnsi"/>
          <w:b/>
          <w:i/>
          <w:color w:val="215868" w:themeColor="accent5" w:themeShade="80"/>
          <w:sz w:val="18"/>
          <w:szCs w:val="20"/>
        </w:rPr>
      </w:pPr>
      <w:r>
        <w:rPr>
          <w:rFonts w:cstheme="minorHAnsi"/>
          <w:b/>
          <w:i/>
          <w:color w:val="215868" w:themeColor="accent5" w:themeShade="80"/>
          <w:sz w:val="18"/>
          <w:szCs w:val="20"/>
        </w:rPr>
        <w:br w:type="page"/>
      </w:r>
    </w:p>
    <w:tbl>
      <w:tblPr>
        <w:tblW w:w="105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264"/>
        <w:gridCol w:w="1339"/>
        <w:gridCol w:w="2260"/>
        <w:gridCol w:w="1023"/>
        <w:gridCol w:w="1221"/>
        <w:gridCol w:w="1328"/>
        <w:gridCol w:w="1413"/>
        <w:gridCol w:w="1684"/>
      </w:tblGrid>
      <w:tr w:rsidR="00C127CB" w:rsidRPr="00D46AF9" w:rsidTr="00D46AF9">
        <w:trPr>
          <w:gridAfter w:val="1"/>
          <w:wAfter w:w="1684" w:type="dxa"/>
          <w:trHeight w:val="424"/>
        </w:trPr>
        <w:tc>
          <w:tcPr>
            <w:tcW w:w="1603" w:type="dxa"/>
            <w:gridSpan w:val="2"/>
            <w:vMerge w:val="restart"/>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COMPONENTES DEL PROYECTO</w:t>
            </w:r>
          </w:p>
        </w:tc>
        <w:tc>
          <w:tcPr>
            <w:tcW w:w="2260" w:type="dxa"/>
            <w:vMerge w:val="restart"/>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METAS DEL PROYECTO</w:t>
            </w:r>
          </w:p>
        </w:tc>
        <w:tc>
          <w:tcPr>
            <w:tcW w:w="4985" w:type="dxa"/>
            <w:gridSpan w:val="4"/>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RECURSOS VIGENCIA</w:t>
            </w:r>
          </w:p>
        </w:tc>
      </w:tr>
      <w:tr w:rsidR="00C127CB" w:rsidRPr="00D46AF9" w:rsidTr="00C127CB">
        <w:trPr>
          <w:gridAfter w:val="1"/>
          <w:wAfter w:w="1684" w:type="dxa"/>
          <w:trHeight w:val="258"/>
        </w:trPr>
        <w:tc>
          <w:tcPr>
            <w:tcW w:w="1603" w:type="dxa"/>
            <w:gridSpan w:val="2"/>
            <w:vMerge/>
            <w:vAlign w:val="center"/>
            <w:hideMark/>
          </w:tcPr>
          <w:p w:rsidR="00C127CB" w:rsidRPr="00D46AF9" w:rsidRDefault="00C127CB" w:rsidP="00C127CB">
            <w:pPr>
              <w:spacing w:after="0" w:line="240" w:lineRule="auto"/>
              <w:rPr>
                <w:rFonts w:eastAsia="Times New Roman" w:cstheme="minorHAnsi"/>
                <w:b/>
                <w:bCs/>
                <w:color w:val="FFFFFF"/>
                <w:sz w:val="16"/>
                <w:szCs w:val="16"/>
                <w:lang w:eastAsia="es-CO"/>
              </w:rPr>
            </w:pPr>
          </w:p>
        </w:tc>
        <w:tc>
          <w:tcPr>
            <w:tcW w:w="2260" w:type="dxa"/>
            <w:vMerge/>
            <w:vAlign w:val="center"/>
            <w:hideMark/>
          </w:tcPr>
          <w:p w:rsidR="00C127CB" w:rsidRPr="00D46AF9" w:rsidRDefault="00C127CB" w:rsidP="00C127CB">
            <w:pPr>
              <w:spacing w:after="0" w:line="240" w:lineRule="auto"/>
              <w:rPr>
                <w:rFonts w:eastAsia="Times New Roman" w:cstheme="minorHAnsi"/>
                <w:b/>
                <w:bCs/>
                <w:color w:val="FFFFFF"/>
                <w:sz w:val="16"/>
                <w:szCs w:val="16"/>
                <w:lang w:eastAsia="es-CO"/>
              </w:rPr>
            </w:pPr>
          </w:p>
        </w:tc>
        <w:tc>
          <w:tcPr>
            <w:tcW w:w="1023" w:type="dxa"/>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2016</w:t>
            </w:r>
          </w:p>
        </w:tc>
        <w:tc>
          <w:tcPr>
            <w:tcW w:w="1221" w:type="dxa"/>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2017</w:t>
            </w:r>
          </w:p>
        </w:tc>
        <w:tc>
          <w:tcPr>
            <w:tcW w:w="1328" w:type="dxa"/>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2018</w:t>
            </w:r>
          </w:p>
        </w:tc>
        <w:tc>
          <w:tcPr>
            <w:tcW w:w="1413" w:type="dxa"/>
            <w:shd w:val="clear" w:color="auto" w:fill="0070C0"/>
            <w:vAlign w:val="center"/>
            <w:hideMark/>
          </w:tcPr>
          <w:p w:rsidR="00C127CB" w:rsidRPr="00D46AF9" w:rsidRDefault="00C127CB" w:rsidP="00C127CB">
            <w:pPr>
              <w:spacing w:after="0" w:line="240" w:lineRule="auto"/>
              <w:jc w:val="center"/>
              <w:rPr>
                <w:rFonts w:eastAsia="Times New Roman" w:cstheme="minorHAnsi"/>
                <w:b/>
                <w:bCs/>
                <w:color w:val="FFFFFF"/>
                <w:sz w:val="16"/>
                <w:szCs w:val="16"/>
                <w:lang w:eastAsia="es-CO"/>
              </w:rPr>
            </w:pPr>
            <w:r w:rsidRPr="00D46AF9">
              <w:rPr>
                <w:rFonts w:eastAsia="Times New Roman" w:cstheme="minorHAnsi"/>
                <w:b/>
                <w:bCs/>
                <w:color w:val="FFFFFF"/>
                <w:sz w:val="16"/>
                <w:szCs w:val="16"/>
                <w:lang w:eastAsia="es-CO"/>
              </w:rPr>
              <w:t>2019</w:t>
            </w:r>
          </w:p>
        </w:tc>
      </w:tr>
      <w:tr w:rsidR="00C127CB" w:rsidRPr="00D46AF9" w:rsidTr="00C127CB">
        <w:trPr>
          <w:gridAfter w:val="1"/>
          <w:wAfter w:w="1684" w:type="dxa"/>
          <w:trHeight w:val="450"/>
        </w:trPr>
        <w:tc>
          <w:tcPr>
            <w:tcW w:w="264" w:type="dxa"/>
            <w:vMerge w:val="restart"/>
            <w:shd w:val="clear" w:color="auto" w:fill="EDEDED"/>
            <w:noWrap/>
            <w:vAlign w:val="center"/>
            <w:hideMark/>
          </w:tcPr>
          <w:p w:rsidR="00C127CB" w:rsidRPr="00D46AF9" w:rsidRDefault="00C127CB" w:rsidP="00C127CB">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1</w:t>
            </w:r>
          </w:p>
        </w:tc>
        <w:tc>
          <w:tcPr>
            <w:tcW w:w="1339" w:type="dxa"/>
            <w:vMerge w:val="restart"/>
            <w:shd w:val="clear" w:color="auto" w:fill="EDEDED"/>
            <w:vAlign w:val="center"/>
          </w:tcPr>
          <w:p w:rsidR="00C127CB" w:rsidRPr="00D46AF9" w:rsidRDefault="00C127CB" w:rsidP="00C127CB">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Mejoramiento de Procesos</w:t>
            </w: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Calibri" w:cstheme="minorHAnsi"/>
                <w:color w:val="215868" w:themeColor="accent5" w:themeShade="80"/>
                <w:sz w:val="16"/>
                <w:szCs w:val="16"/>
              </w:rPr>
              <w:t>Implementar 4 esquemas de comunicación con grupos de interés</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$ 217</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$ 250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$ 219</w:t>
            </w:r>
          </w:p>
        </w:tc>
      </w:tr>
      <w:tr w:rsidR="00C127CB" w:rsidRPr="00D46AF9" w:rsidTr="00C127CB">
        <w:trPr>
          <w:gridAfter w:val="1"/>
          <w:wAfter w:w="1684" w:type="dxa"/>
          <w:trHeight w:val="312"/>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$ 217</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$ 250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$ 219</w:t>
            </w:r>
          </w:p>
        </w:tc>
      </w:tr>
      <w:tr w:rsidR="00C127CB" w:rsidRPr="00D46AF9" w:rsidTr="00C127CB">
        <w:trPr>
          <w:gridAfter w:val="1"/>
          <w:wAfter w:w="1684" w:type="dxa"/>
          <w:trHeight w:val="226"/>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Implementar al 100% el Sistema Integrado de Gestión</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$ 200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r>
      <w:tr w:rsidR="00C127CB" w:rsidRPr="00D46AF9" w:rsidTr="00C127CB">
        <w:trPr>
          <w:gridAfter w:val="1"/>
          <w:wAfter w:w="1684" w:type="dxa"/>
          <w:trHeight w:val="220"/>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$ 200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r>
      <w:tr w:rsidR="00C127CB" w:rsidRPr="00D46AF9" w:rsidTr="00C127CB">
        <w:trPr>
          <w:gridAfter w:val="1"/>
          <w:wAfter w:w="1684" w:type="dxa"/>
          <w:trHeight w:val="272"/>
        </w:trPr>
        <w:tc>
          <w:tcPr>
            <w:tcW w:w="264"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Mantener 1 Sistema de Gestión Integral en la entidad</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$ 594</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$ 759</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r>
      <w:tr w:rsidR="00C127CB" w:rsidRPr="00D46AF9" w:rsidTr="00C127CB">
        <w:trPr>
          <w:gridAfter w:val="1"/>
          <w:wAfter w:w="1684" w:type="dxa"/>
          <w:trHeight w:val="262"/>
        </w:trPr>
        <w:tc>
          <w:tcPr>
            <w:tcW w:w="264"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$ 533</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$ 577</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r>
      <w:tr w:rsidR="00C127CB" w:rsidRPr="00D46AF9" w:rsidTr="00C127CB">
        <w:trPr>
          <w:gridAfter w:val="1"/>
          <w:wAfter w:w="1684" w:type="dxa"/>
          <w:trHeight w:val="328"/>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Automatizar 6 procedimientos que apoyan la misión de la entidad</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$ 221</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$ 176</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$ 300</w:t>
            </w:r>
          </w:p>
        </w:tc>
      </w:tr>
      <w:tr w:rsidR="00C127CB" w:rsidRPr="00D46AF9" w:rsidTr="00C127CB">
        <w:trPr>
          <w:gridAfter w:val="1"/>
          <w:wAfter w:w="1684" w:type="dxa"/>
          <w:trHeight w:val="328"/>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$ 181</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$ 176</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$ 300</w:t>
            </w:r>
          </w:p>
        </w:tc>
      </w:tr>
      <w:tr w:rsidR="00C127CB" w:rsidRPr="00D46AF9" w:rsidTr="00C127CB">
        <w:trPr>
          <w:gridAfter w:val="1"/>
          <w:wAfter w:w="1684" w:type="dxa"/>
          <w:trHeight w:val="232"/>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Gestionar el 100 % del plan de adecuación y sostenibilidad SIG - MIPG</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$ 385</w:t>
            </w:r>
          </w:p>
        </w:tc>
      </w:tr>
      <w:tr w:rsidR="00C127CB" w:rsidRPr="00D46AF9" w:rsidTr="00C127CB">
        <w:trPr>
          <w:gridAfter w:val="1"/>
          <w:wAfter w:w="1684" w:type="dxa"/>
          <w:trHeight w:val="232"/>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$ 385</w:t>
            </w:r>
          </w:p>
        </w:tc>
      </w:tr>
      <w:tr w:rsidR="00C127CB" w:rsidRPr="00D46AF9" w:rsidTr="00C127CB">
        <w:trPr>
          <w:gridAfter w:val="1"/>
          <w:wAfter w:w="1684" w:type="dxa"/>
          <w:trHeight w:val="322"/>
        </w:trPr>
        <w:tc>
          <w:tcPr>
            <w:tcW w:w="264" w:type="dxa"/>
            <w:vMerge w:val="restart"/>
            <w:shd w:val="clear" w:color="auto" w:fill="EDEDED"/>
            <w:noWrap/>
            <w:vAlign w:val="center"/>
            <w:hideMark/>
          </w:tcPr>
          <w:p w:rsidR="00C127CB" w:rsidRPr="00D46AF9" w:rsidRDefault="00C127CB" w:rsidP="00C127CB">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2</w:t>
            </w:r>
          </w:p>
        </w:tc>
        <w:tc>
          <w:tcPr>
            <w:tcW w:w="1339" w:type="dxa"/>
            <w:vMerge w:val="restart"/>
            <w:shd w:val="clear" w:color="auto" w:fill="EDEDED"/>
            <w:vAlign w:val="center"/>
          </w:tcPr>
          <w:p w:rsidR="00C127CB" w:rsidRPr="00D46AF9" w:rsidRDefault="00C127CB" w:rsidP="00C127CB">
            <w:pPr>
              <w:spacing w:after="0" w:line="240" w:lineRule="auto"/>
              <w:jc w:val="center"/>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Atención al Ciudadano</w:t>
            </w: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Implementar al 100 % solución tecnológica para la atención de los requerimientos de los ciudadanos</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$ 419</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$ 209</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$ 347</w:t>
            </w:r>
          </w:p>
        </w:tc>
      </w:tr>
      <w:tr w:rsidR="00C127CB" w:rsidRPr="00D46AF9" w:rsidTr="00C127CB">
        <w:trPr>
          <w:gridAfter w:val="1"/>
          <w:wAfter w:w="1684" w:type="dxa"/>
          <w:trHeight w:val="445"/>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$ 419</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$ 209</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$ 347</w:t>
            </w:r>
          </w:p>
        </w:tc>
      </w:tr>
      <w:tr w:rsidR="00C127CB" w:rsidRPr="00D46AF9" w:rsidTr="00C127CB">
        <w:trPr>
          <w:trHeight w:val="338"/>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Mejorar en 30 % el nivel de confianza ciudadana en la entidad</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$ 363</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$ 496</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$ 594</w:t>
            </w:r>
          </w:p>
        </w:tc>
        <w:tc>
          <w:tcPr>
            <w:tcW w:w="1684" w:type="dxa"/>
            <w:vAlign w:val="center"/>
          </w:tcPr>
          <w:p w:rsidR="00C127CB" w:rsidRPr="00D46AF9" w:rsidRDefault="00C127CB" w:rsidP="00C127CB">
            <w:pPr>
              <w:spacing w:after="160" w:line="259" w:lineRule="auto"/>
              <w:rPr>
                <w:rFonts w:eastAsia="Times New Roman" w:cstheme="minorHAnsi"/>
                <w:sz w:val="16"/>
                <w:szCs w:val="16"/>
                <w:lang w:eastAsia="es-CO"/>
              </w:rPr>
            </w:pPr>
          </w:p>
        </w:tc>
      </w:tr>
      <w:tr w:rsidR="00C127CB" w:rsidRPr="00D46AF9" w:rsidTr="00C127CB">
        <w:trPr>
          <w:gridAfter w:val="1"/>
          <w:wAfter w:w="1684" w:type="dxa"/>
          <w:trHeight w:val="338"/>
        </w:trPr>
        <w:tc>
          <w:tcPr>
            <w:tcW w:w="264" w:type="dxa"/>
            <w:vMerge/>
            <w:vAlign w:val="center"/>
            <w:hideMark/>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$ 359</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$ 494</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$ 590</w:t>
            </w:r>
          </w:p>
        </w:tc>
      </w:tr>
      <w:tr w:rsidR="00C127CB" w:rsidRPr="00D46AF9" w:rsidTr="00C127CB">
        <w:trPr>
          <w:gridAfter w:val="1"/>
          <w:wAfter w:w="1684" w:type="dxa"/>
          <w:trHeight w:val="338"/>
        </w:trPr>
        <w:tc>
          <w:tcPr>
            <w:tcW w:w="264"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restart"/>
            <w:shd w:val="clear" w:color="auto" w:fill="EDEDED"/>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Fortalecer 4 espacios de participación ciudadana en el Distrito</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$ 49</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r>
      <w:tr w:rsidR="00C127CB" w:rsidRPr="00D46AF9" w:rsidTr="00C127CB">
        <w:trPr>
          <w:gridAfter w:val="1"/>
          <w:wAfter w:w="1684" w:type="dxa"/>
          <w:trHeight w:val="338"/>
        </w:trPr>
        <w:tc>
          <w:tcPr>
            <w:tcW w:w="264"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339"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2260" w:type="dxa"/>
            <w:vMerge/>
            <w:vAlign w:val="center"/>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$ 49</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color w:val="215868" w:themeColor="accent5" w:themeShade="80"/>
                <w:sz w:val="16"/>
                <w:szCs w:val="16"/>
                <w:lang w:eastAsia="es-CO"/>
              </w:rPr>
            </w:pPr>
            <w:r w:rsidRPr="00D46AF9">
              <w:rPr>
                <w:rFonts w:eastAsia="Times New Roman" w:cstheme="minorHAnsi"/>
                <w:color w:val="215868" w:themeColor="accent5" w:themeShade="80"/>
                <w:sz w:val="16"/>
                <w:szCs w:val="16"/>
                <w:lang w:eastAsia="es-CO"/>
              </w:rPr>
              <w:t>$ 0</w:t>
            </w:r>
          </w:p>
        </w:tc>
      </w:tr>
      <w:tr w:rsidR="00C127CB" w:rsidRPr="00D46AF9" w:rsidTr="00C127CB">
        <w:trPr>
          <w:gridAfter w:val="1"/>
          <w:wAfter w:w="1684" w:type="dxa"/>
          <w:trHeight w:val="338"/>
        </w:trPr>
        <w:tc>
          <w:tcPr>
            <w:tcW w:w="3863" w:type="dxa"/>
            <w:gridSpan w:val="3"/>
            <w:shd w:val="clear" w:color="auto" w:fill="EDEDED"/>
            <w:vAlign w:val="bottom"/>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TOTAL PROGRAMADO</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$ 200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$ 1.863</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$ 1.890</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$ 1.845</w:t>
            </w:r>
          </w:p>
        </w:tc>
      </w:tr>
      <w:tr w:rsidR="00C127CB" w:rsidRPr="00D46AF9" w:rsidTr="00C127CB">
        <w:trPr>
          <w:gridAfter w:val="1"/>
          <w:wAfter w:w="1684" w:type="dxa"/>
          <w:trHeight w:val="338"/>
        </w:trPr>
        <w:tc>
          <w:tcPr>
            <w:tcW w:w="3863" w:type="dxa"/>
            <w:gridSpan w:val="3"/>
            <w:shd w:val="clear" w:color="auto" w:fill="EDEDED"/>
            <w:vAlign w:val="bottom"/>
          </w:tcPr>
          <w:p w:rsidR="00C127CB" w:rsidRPr="00D46AF9" w:rsidRDefault="00C127CB" w:rsidP="00C127CB">
            <w:pPr>
              <w:spacing w:after="0" w:line="240" w:lineRule="auto"/>
              <w:rPr>
                <w:rFonts w:eastAsia="Times New Roman" w:cstheme="minorHAnsi"/>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TOTAL EJECUTADO</w:t>
            </w:r>
          </w:p>
        </w:tc>
        <w:tc>
          <w:tcPr>
            <w:tcW w:w="1023"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$ 200</w:t>
            </w:r>
          </w:p>
        </w:tc>
        <w:tc>
          <w:tcPr>
            <w:tcW w:w="1221"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$ 1.758</w:t>
            </w:r>
          </w:p>
        </w:tc>
        <w:tc>
          <w:tcPr>
            <w:tcW w:w="1328" w:type="dxa"/>
            <w:shd w:val="clear" w:color="auto" w:fill="EDEDED"/>
            <w:vAlign w:val="center"/>
          </w:tcPr>
          <w:p w:rsidR="00C127CB" w:rsidRPr="00D46AF9" w:rsidRDefault="00C127CB" w:rsidP="00C127CB">
            <w:pPr>
              <w:spacing w:after="0" w:line="240" w:lineRule="auto"/>
              <w:jc w:val="right"/>
              <w:rPr>
                <w:rFonts w:eastAsia="Times New Roman" w:cstheme="minorHAnsi"/>
                <w:b/>
                <w:color w:val="215868" w:themeColor="accent5" w:themeShade="80"/>
                <w:sz w:val="16"/>
                <w:szCs w:val="16"/>
                <w:lang w:eastAsia="es-CO"/>
              </w:rPr>
            </w:pPr>
            <w:r w:rsidRPr="00D46AF9">
              <w:rPr>
                <w:rFonts w:eastAsia="Times New Roman" w:cstheme="minorHAnsi"/>
                <w:b/>
                <w:color w:val="215868" w:themeColor="accent5" w:themeShade="80"/>
                <w:sz w:val="16"/>
                <w:szCs w:val="16"/>
                <w:lang w:eastAsia="es-CO"/>
              </w:rPr>
              <w:t>$ 1.706</w:t>
            </w:r>
          </w:p>
        </w:tc>
        <w:tc>
          <w:tcPr>
            <w:tcW w:w="1413" w:type="dxa"/>
            <w:shd w:val="clear" w:color="auto" w:fill="EDEDED"/>
            <w:vAlign w:val="center"/>
          </w:tcPr>
          <w:p w:rsidR="00C127CB" w:rsidRPr="00D46AF9" w:rsidRDefault="00C127CB" w:rsidP="00C127CB">
            <w:pPr>
              <w:spacing w:after="0" w:line="240" w:lineRule="auto"/>
              <w:jc w:val="right"/>
              <w:rPr>
                <w:rFonts w:eastAsia="Times New Roman" w:cstheme="minorHAnsi"/>
                <w:b/>
                <w:bCs/>
                <w:color w:val="215868" w:themeColor="accent5" w:themeShade="80"/>
                <w:sz w:val="16"/>
                <w:szCs w:val="16"/>
                <w:lang w:eastAsia="es-CO"/>
              </w:rPr>
            </w:pPr>
            <w:r w:rsidRPr="00D46AF9">
              <w:rPr>
                <w:rFonts w:eastAsia="Times New Roman" w:cstheme="minorHAnsi"/>
                <w:b/>
                <w:bCs/>
                <w:color w:val="215868" w:themeColor="accent5" w:themeShade="80"/>
                <w:sz w:val="16"/>
                <w:szCs w:val="16"/>
                <w:lang w:eastAsia="es-CO"/>
              </w:rPr>
              <w:t>$ 1.841</w:t>
            </w:r>
          </w:p>
        </w:tc>
      </w:tr>
    </w:tbl>
    <w:p w:rsidR="00C127CB" w:rsidRPr="00D46AF9" w:rsidRDefault="00C127CB" w:rsidP="00C127CB">
      <w:pPr>
        <w:spacing w:after="0"/>
        <w:jc w:val="center"/>
        <w:rPr>
          <w:rFonts w:cstheme="minorHAnsi"/>
          <w:i/>
          <w:color w:val="215868" w:themeColor="accent5" w:themeShade="80"/>
          <w:sz w:val="18"/>
          <w:szCs w:val="20"/>
        </w:rPr>
      </w:pPr>
      <w:r w:rsidRPr="00D46AF9">
        <w:rPr>
          <w:rFonts w:cstheme="minorHAnsi"/>
          <w:i/>
          <w:color w:val="215868" w:themeColor="accent5" w:themeShade="80"/>
          <w:sz w:val="18"/>
          <w:szCs w:val="20"/>
        </w:rPr>
        <w:t xml:space="preserve">Tabla. Avance financiero proyecto de inversión 1180 – Afianzar una gestión pública efectiva </w:t>
      </w:r>
    </w:p>
    <w:p w:rsidR="00C127CB" w:rsidRPr="00D46AF9" w:rsidRDefault="00C127CB" w:rsidP="00C127CB">
      <w:pPr>
        <w:spacing w:after="0"/>
        <w:jc w:val="center"/>
        <w:rPr>
          <w:rFonts w:cstheme="minorHAnsi"/>
          <w:i/>
          <w:color w:val="215868" w:themeColor="accent5" w:themeShade="80"/>
          <w:sz w:val="18"/>
          <w:szCs w:val="20"/>
        </w:rPr>
      </w:pPr>
      <w:r w:rsidRPr="00D46AF9">
        <w:rPr>
          <w:rFonts w:cstheme="minorHAnsi"/>
          <w:i/>
          <w:color w:val="215868" w:themeColor="accent5" w:themeShade="80"/>
          <w:sz w:val="18"/>
          <w:szCs w:val="20"/>
        </w:rPr>
        <w:t xml:space="preserve">Fuente: SEGPLAN </w:t>
      </w:r>
    </w:p>
    <w:p w:rsidR="003C0DAA" w:rsidRDefault="003C0DAA" w:rsidP="00C127CB">
      <w:pPr>
        <w:spacing w:after="0"/>
        <w:rPr>
          <w:rFonts w:cstheme="minorHAnsi"/>
          <w:b/>
          <w:i/>
          <w:color w:val="215868" w:themeColor="accent5" w:themeShade="80"/>
          <w:sz w:val="18"/>
          <w:szCs w:val="20"/>
        </w:rPr>
      </w:pPr>
    </w:p>
    <w:p w:rsidR="003C0DAA" w:rsidRDefault="003C0DAA" w:rsidP="003C0DAA">
      <w:pPr>
        <w:spacing w:after="0"/>
        <w:jc w:val="center"/>
        <w:rPr>
          <w:rFonts w:cstheme="minorHAnsi"/>
          <w:b/>
          <w:i/>
          <w:color w:val="215868" w:themeColor="accent5" w:themeShade="80"/>
          <w:sz w:val="18"/>
          <w:szCs w:val="20"/>
        </w:rPr>
      </w:pPr>
    </w:p>
    <w:p w:rsidR="00BF5FF3" w:rsidRPr="008912A8" w:rsidRDefault="00BF5FF3" w:rsidP="008912A8">
      <w:pPr>
        <w:spacing w:after="0"/>
        <w:jc w:val="center"/>
        <w:rPr>
          <w:rFonts w:cstheme="minorHAnsi"/>
          <w:b/>
          <w:i/>
          <w:color w:val="215868" w:themeColor="accent5" w:themeShade="80"/>
          <w:sz w:val="18"/>
          <w:szCs w:val="20"/>
        </w:rPr>
      </w:pPr>
    </w:p>
    <w:p w:rsidR="00C127CB" w:rsidRDefault="00C127CB">
      <w:pPr>
        <w:rPr>
          <w:rFonts w:eastAsiaTheme="majorEastAsia" w:cstheme="minorHAnsi"/>
          <w:color w:val="215868" w:themeColor="accent5" w:themeShade="80"/>
          <w:spacing w:val="5"/>
          <w:kern w:val="28"/>
          <w:sz w:val="52"/>
          <w:szCs w:val="52"/>
        </w:rPr>
      </w:pPr>
      <w:r>
        <w:rPr>
          <w:rFonts w:cstheme="minorHAnsi"/>
          <w:color w:val="215868" w:themeColor="accent5" w:themeShade="80"/>
        </w:rPr>
        <w:br w:type="page"/>
      </w:r>
    </w:p>
    <w:p w:rsidR="00BF5FF3" w:rsidRPr="00272A71" w:rsidRDefault="00BF5FF3" w:rsidP="00CB0844">
      <w:pPr>
        <w:pStyle w:val="Ttulo"/>
        <w:ind w:left="-567"/>
        <w:outlineLvl w:val="0"/>
        <w:rPr>
          <w:rFonts w:asciiTheme="minorHAnsi" w:hAnsiTheme="minorHAnsi" w:cstheme="minorHAnsi"/>
          <w:color w:val="215868" w:themeColor="accent5" w:themeShade="80"/>
        </w:rPr>
      </w:pPr>
      <w:bookmarkStart w:id="13" w:name="_Toc30767282"/>
      <w:r w:rsidRPr="00272A71">
        <w:rPr>
          <w:rFonts w:asciiTheme="minorHAnsi" w:hAnsiTheme="minorHAnsi" w:cstheme="minorHAnsi"/>
          <w:color w:val="215868" w:themeColor="accent5" w:themeShade="80"/>
        </w:rPr>
        <w:t>ANEXOS</w:t>
      </w:r>
      <w:bookmarkEnd w:id="13"/>
    </w:p>
    <w:p w:rsidR="00BF5FF3" w:rsidRPr="00272A71" w:rsidRDefault="00BF5FF3" w:rsidP="00F9591B">
      <w:pPr>
        <w:pStyle w:val="Prrafodelista"/>
        <w:numPr>
          <w:ilvl w:val="0"/>
          <w:numId w:val="3"/>
        </w:numPr>
        <w:jc w:val="both"/>
        <w:rPr>
          <w:rFonts w:cstheme="minorHAnsi"/>
          <w:color w:val="215868" w:themeColor="accent5" w:themeShade="80"/>
          <w:sz w:val="28"/>
          <w:szCs w:val="28"/>
        </w:rPr>
      </w:pPr>
      <w:r w:rsidRPr="00272A71">
        <w:rPr>
          <w:rFonts w:cstheme="minorHAnsi"/>
          <w:color w:val="215868" w:themeColor="accent5" w:themeShade="80"/>
          <w:sz w:val="28"/>
          <w:szCs w:val="28"/>
        </w:rPr>
        <w:t>Seguimiento al Plan de Acción Componente de Inversión a 31 de diciembre de 201</w:t>
      </w:r>
      <w:r w:rsidR="00C127CB">
        <w:rPr>
          <w:rFonts w:cstheme="minorHAnsi"/>
          <w:color w:val="215868" w:themeColor="accent5" w:themeShade="80"/>
          <w:sz w:val="28"/>
          <w:szCs w:val="28"/>
        </w:rPr>
        <w:t>9</w:t>
      </w:r>
      <w:r w:rsidRPr="00272A71">
        <w:rPr>
          <w:rFonts w:cstheme="minorHAnsi"/>
          <w:color w:val="215868" w:themeColor="accent5" w:themeShade="80"/>
          <w:sz w:val="28"/>
          <w:szCs w:val="28"/>
        </w:rPr>
        <w:t xml:space="preserve"> – Reporte SEGPLAN</w:t>
      </w:r>
    </w:p>
    <w:p w:rsidR="00BF5FF3" w:rsidRDefault="00BF5FF3" w:rsidP="00F9591B">
      <w:pPr>
        <w:pStyle w:val="Prrafodelista"/>
        <w:numPr>
          <w:ilvl w:val="0"/>
          <w:numId w:val="3"/>
        </w:numPr>
        <w:jc w:val="both"/>
        <w:rPr>
          <w:rFonts w:cstheme="minorHAnsi"/>
          <w:color w:val="215868" w:themeColor="accent5" w:themeShade="80"/>
          <w:sz w:val="28"/>
          <w:szCs w:val="28"/>
        </w:rPr>
      </w:pPr>
      <w:r w:rsidRPr="00272A71">
        <w:rPr>
          <w:rFonts w:cstheme="minorHAnsi"/>
          <w:color w:val="215868" w:themeColor="accent5" w:themeShade="80"/>
          <w:sz w:val="28"/>
          <w:szCs w:val="28"/>
        </w:rPr>
        <w:t>Seguimiento al Plan de Acción Componente de Gestión a 31 de diciembre de 201</w:t>
      </w:r>
      <w:r w:rsidR="00C127CB">
        <w:rPr>
          <w:rFonts w:cstheme="minorHAnsi"/>
          <w:color w:val="215868" w:themeColor="accent5" w:themeShade="80"/>
          <w:sz w:val="28"/>
          <w:szCs w:val="28"/>
        </w:rPr>
        <w:t>9</w:t>
      </w:r>
      <w:r w:rsidRPr="00272A71">
        <w:rPr>
          <w:rFonts w:cstheme="minorHAnsi"/>
          <w:color w:val="215868" w:themeColor="accent5" w:themeShade="80"/>
          <w:sz w:val="28"/>
          <w:szCs w:val="28"/>
        </w:rPr>
        <w:t xml:space="preserve"> – Reporte SEGPLAN</w:t>
      </w:r>
    </w:p>
    <w:p w:rsidR="009F0059" w:rsidRDefault="009F0059" w:rsidP="00F9591B">
      <w:pPr>
        <w:pStyle w:val="Prrafodelista"/>
        <w:numPr>
          <w:ilvl w:val="0"/>
          <w:numId w:val="3"/>
        </w:numPr>
        <w:jc w:val="both"/>
        <w:rPr>
          <w:rFonts w:cstheme="minorHAnsi"/>
          <w:color w:val="215868" w:themeColor="accent5" w:themeShade="80"/>
          <w:sz w:val="28"/>
          <w:szCs w:val="28"/>
        </w:rPr>
      </w:pPr>
      <w:r w:rsidRPr="00272A71">
        <w:rPr>
          <w:rFonts w:cstheme="minorHAnsi"/>
          <w:color w:val="215868" w:themeColor="accent5" w:themeShade="80"/>
          <w:sz w:val="28"/>
          <w:szCs w:val="28"/>
        </w:rPr>
        <w:t xml:space="preserve">Seguimiento al Plan de Acción Componente de </w:t>
      </w:r>
      <w:r>
        <w:rPr>
          <w:rFonts w:cstheme="minorHAnsi"/>
          <w:color w:val="215868" w:themeColor="accent5" w:themeShade="80"/>
          <w:sz w:val="28"/>
          <w:szCs w:val="28"/>
        </w:rPr>
        <w:t>Actividades</w:t>
      </w:r>
      <w:r w:rsidRPr="00272A71">
        <w:rPr>
          <w:rFonts w:cstheme="minorHAnsi"/>
          <w:color w:val="215868" w:themeColor="accent5" w:themeShade="80"/>
          <w:sz w:val="28"/>
          <w:szCs w:val="28"/>
        </w:rPr>
        <w:t xml:space="preserve"> a 31 de diciembre de 201</w:t>
      </w:r>
      <w:r w:rsidR="00C127CB">
        <w:rPr>
          <w:rFonts w:cstheme="minorHAnsi"/>
          <w:color w:val="215868" w:themeColor="accent5" w:themeShade="80"/>
          <w:sz w:val="28"/>
          <w:szCs w:val="28"/>
        </w:rPr>
        <w:t>9</w:t>
      </w:r>
      <w:r w:rsidRPr="00272A71">
        <w:rPr>
          <w:rFonts w:cstheme="minorHAnsi"/>
          <w:color w:val="215868" w:themeColor="accent5" w:themeShade="80"/>
          <w:sz w:val="28"/>
          <w:szCs w:val="28"/>
        </w:rPr>
        <w:t xml:space="preserve"> – Reporte SEGPLAN</w:t>
      </w:r>
    </w:p>
    <w:p w:rsidR="009F0059" w:rsidRPr="00272A71" w:rsidRDefault="009F0059" w:rsidP="009F0059">
      <w:pPr>
        <w:pStyle w:val="Prrafodelista"/>
        <w:ind w:left="153"/>
        <w:jc w:val="both"/>
        <w:rPr>
          <w:rFonts w:cstheme="minorHAnsi"/>
          <w:color w:val="215868" w:themeColor="accent5" w:themeShade="80"/>
          <w:sz w:val="28"/>
          <w:szCs w:val="28"/>
        </w:rPr>
      </w:pPr>
    </w:p>
    <w:p w:rsidR="00BF5FF3" w:rsidRPr="00272A71" w:rsidRDefault="00BF5FF3" w:rsidP="00BF5FF3">
      <w:pPr>
        <w:rPr>
          <w:rFonts w:cstheme="minorHAnsi"/>
          <w:color w:val="215868" w:themeColor="accent5" w:themeShade="80"/>
          <w:sz w:val="28"/>
          <w:szCs w:val="28"/>
        </w:rPr>
      </w:pPr>
    </w:p>
    <w:sectPr w:rsidR="00BF5FF3" w:rsidRPr="00272A71" w:rsidSect="001B5238">
      <w:footerReference w:type="default" r:id="rId17"/>
      <w:pgSz w:w="12240" w:h="15840" w:code="122"/>
      <w:pgMar w:top="1418" w:right="1183"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85" w:rsidRDefault="00FD7285" w:rsidP="00923380">
      <w:pPr>
        <w:spacing w:after="0" w:line="240" w:lineRule="auto"/>
      </w:pPr>
      <w:r>
        <w:separator/>
      </w:r>
    </w:p>
  </w:endnote>
  <w:endnote w:type="continuationSeparator" w:id="0">
    <w:p w:rsidR="00FD7285" w:rsidRDefault="00FD7285" w:rsidP="009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icrogrammaDMedEx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 Rounded Medium">
    <w:altName w:val="Times New Roman"/>
    <w:panose1 w:val="00000000000000000000"/>
    <w:charset w:val="00"/>
    <w:family w:val="modern"/>
    <w:notTrueType/>
    <w:pitch w:val="variable"/>
    <w:sig w:usb0="A00000FF" w:usb1="4000004A" w:usb2="00000000" w:usb3="00000000" w:csb0="0000000B" w:csb1="00000000"/>
  </w:font>
  <w:font w:name="Open Sans">
    <w:altName w:val="Segoe UI"/>
    <w:charset w:val="00"/>
    <w:family w:val="swiss"/>
    <w:pitch w:val="variable"/>
    <w:sig w:usb0="E00002EF" w:usb1="4000205B" w:usb2="00000028"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799863"/>
      <w:docPartObj>
        <w:docPartGallery w:val="Page Numbers (Bottom of Page)"/>
        <w:docPartUnique/>
      </w:docPartObj>
    </w:sdtPr>
    <w:sdtEndPr>
      <w:rPr>
        <w:rFonts w:cstheme="minorHAnsi"/>
        <w:sz w:val="20"/>
        <w:szCs w:val="20"/>
      </w:rPr>
    </w:sdtEndPr>
    <w:sdtContent>
      <w:p w:rsidR="00E07CF6" w:rsidRPr="00D46AF9" w:rsidRDefault="00E07CF6" w:rsidP="00D46AF9">
        <w:pPr>
          <w:pStyle w:val="Piedepgina"/>
          <w:jc w:val="right"/>
          <w:rPr>
            <w:rFonts w:cstheme="minorHAnsi"/>
            <w:sz w:val="20"/>
            <w:szCs w:val="20"/>
          </w:rPr>
        </w:pPr>
        <w:r w:rsidRPr="00E07CF6">
          <w:rPr>
            <w:rFonts w:cstheme="minorHAnsi"/>
            <w:sz w:val="20"/>
            <w:szCs w:val="20"/>
          </w:rPr>
          <w:fldChar w:fldCharType="begin"/>
        </w:r>
        <w:r w:rsidRPr="00E07CF6">
          <w:rPr>
            <w:rFonts w:cstheme="minorHAnsi"/>
            <w:sz w:val="20"/>
            <w:szCs w:val="20"/>
          </w:rPr>
          <w:instrText>PAGE   \* MERGEFORMAT</w:instrText>
        </w:r>
        <w:r w:rsidRPr="00E07CF6">
          <w:rPr>
            <w:rFonts w:cstheme="minorHAnsi"/>
            <w:sz w:val="20"/>
            <w:szCs w:val="20"/>
          </w:rPr>
          <w:fldChar w:fldCharType="separate"/>
        </w:r>
        <w:r w:rsidRPr="00E07CF6">
          <w:rPr>
            <w:rFonts w:cstheme="minorHAnsi"/>
            <w:sz w:val="20"/>
            <w:szCs w:val="20"/>
            <w:lang w:val="es-ES"/>
          </w:rPr>
          <w:t>2</w:t>
        </w:r>
        <w:r w:rsidRPr="00E07CF6">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85" w:rsidRDefault="00FD7285" w:rsidP="00923380">
      <w:pPr>
        <w:spacing w:after="0" w:line="240" w:lineRule="auto"/>
      </w:pPr>
      <w:r>
        <w:separator/>
      </w:r>
    </w:p>
  </w:footnote>
  <w:footnote w:type="continuationSeparator" w:id="0">
    <w:p w:rsidR="00FD7285" w:rsidRDefault="00FD7285" w:rsidP="00923380">
      <w:pPr>
        <w:spacing w:after="0" w:line="240" w:lineRule="auto"/>
      </w:pPr>
      <w:r>
        <w:continuationSeparator/>
      </w:r>
    </w:p>
  </w:footnote>
  <w:footnote w:id="1">
    <w:p w:rsidR="00E07CF6" w:rsidRPr="007F3193" w:rsidRDefault="00E07CF6" w:rsidP="002C4EFB">
      <w:pPr>
        <w:pStyle w:val="Textonotapie"/>
        <w:ind w:left="-567"/>
        <w:jc w:val="both"/>
        <w:rPr>
          <w:rFonts w:cstheme="minorHAnsi"/>
          <w:color w:val="17365D" w:themeColor="text2" w:themeShade="BF"/>
        </w:rPr>
      </w:pPr>
      <w:r w:rsidRPr="007F3193">
        <w:rPr>
          <w:rStyle w:val="Refdenotaalpie"/>
          <w:rFonts w:cstheme="minorHAnsi"/>
          <w:color w:val="17365D" w:themeColor="text2" w:themeShade="BF"/>
        </w:rPr>
        <w:footnoteRef/>
      </w:r>
      <w:r w:rsidRPr="007F3193">
        <w:rPr>
          <w:rFonts w:cstheme="minorHAnsi"/>
          <w:color w:val="17365D" w:themeColor="text2" w:themeShade="BF"/>
        </w:rPr>
        <w:t xml:space="preserve"> “Por el cual se adopta el plan de desarrollo económico, social, ambiental y de obras públicas para Bogotá D.C. 2016 - 2020 “Bogotá Mejor Para Todos””</w:t>
      </w:r>
    </w:p>
  </w:footnote>
  <w:footnote w:id="2">
    <w:p w:rsidR="00E07CF6" w:rsidRPr="007F3193" w:rsidRDefault="00E07CF6" w:rsidP="002C4EFB">
      <w:pPr>
        <w:pStyle w:val="Textonotapie"/>
        <w:ind w:left="-567"/>
        <w:jc w:val="both"/>
        <w:rPr>
          <w:rFonts w:cstheme="minorHAnsi"/>
          <w:color w:val="17365D" w:themeColor="text2" w:themeShade="BF"/>
        </w:rPr>
      </w:pPr>
      <w:r w:rsidRPr="007F3193">
        <w:rPr>
          <w:rStyle w:val="Refdenotaalpie"/>
          <w:rFonts w:cstheme="minorHAnsi"/>
          <w:color w:val="17365D" w:themeColor="text2" w:themeShade="BF"/>
        </w:rPr>
        <w:footnoteRef/>
      </w:r>
      <w:r w:rsidRPr="007F3193">
        <w:rPr>
          <w:rFonts w:cstheme="minorHAnsi"/>
          <w:color w:val="17365D" w:themeColor="text2" w:themeShade="BF"/>
        </w:rPr>
        <w:t xml:space="preserve"> "Por el cual se dictan normas básicas sobre la estructura, organización y funcionamiento de los organismos y de las entidades de Bogotá, Distrito Capital, y se expiden otras disposiciones"</w:t>
      </w:r>
    </w:p>
  </w:footnote>
  <w:footnote w:id="3">
    <w:p w:rsidR="00E07CF6" w:rsidRPr="00D46AF9" w:rsidRDefault="00E07CF6" w:rsidP="002C4EFB">
      <w:pPr>
        <w:pStyle w:val="Textonotapie"/>
        <w:ind w:left="-567"/>
        <w:jc w:val="both"/>
        <w:rPr>
          <w:rFonts w:cstheme="minorHAnsi"/>
          <w:color w:val="215868" w:themeColor="accent5" w:themeShade="80"/>
        </w:rPr>
      </w:pPr>
      <w:r w:rsidRPr="00D46AF9">
        <w:rPr>
          <w:rStyle w:val="Refdenotaalpie"/>
          <w:rFonts w:cstheme="minorHAnsi"/>
          <w:color w:val="215868" w:themeColor="accent5" w:themeShade="80"/>
        </w:rPr>
        <w:footnoteRef/>
      </w:r>
      <w:r w:rsidRPr="00D46AF9">
        <w:rPr>
          <w:rFonts w:cstheme="minorHAnsi"/>
          <w:color w:val="215868" w:themeColor="accent5" w:themeShade="80"/>
        </w:rPr>
        <w:t xml:space="preserve"> "Por la cual se establece la metodología para desarrollar la actualización permanente de la formación catastral"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C89"/>
    <w:multiLevelType w:val="hybridMultilevel"/>
    <w:tmpl w:val="0AB29B9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EF45E74"/>
    <w:multiLevelType w:val="multilevel"/>
    <w:tmpl w:val="112E91B6"/>
    <w:lvl w:ilvl="0">
      <w:start w:val="1"/>
      <w:numFmt w:val="decimal"/>
      <w:lvlText w:val="%1."/>
      <w:lvlJc w:val="left"/>
      <w:pPr>
        <w:ind w:left="153" w:hanging="72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2" w15:restartNumberingAfterBreak="0">
    <w:nsid w:val="14791ED5"/>
    <w:multiLevelType w:val="hybridMultilevel"/>
    <w:tmpl w:val="EB244CAE"/>
    <w:lvl w:ilvl="0" w:tplc="240A0001">
      <w:start w:val="1"/>
      <w:numFmt w:val="bullet"/>
      <w:lvlText w:val=""/>
      <w:lvlJc w:val="left"/>
      <w:pPr>
        <w:ind w:left="-207" w:hanging="360"/>
      </w:pPr>
      <w:rPr>
        <w:rFonts w:ascii="Symbol" w:hAnsi="Symbo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3" w15:restartNumberingAfterBreak="0">
    <w:nsid w:val="150E7693"/>
    <w:multiLevelType w:val="hybridMultilevel"/>
    <w:tmpl w:val="542A3C98"/>
    <w:lvl w:ilvl="0" w:tplc="240A000F">
      <w:start w:val="1"/>
      <w:numFmt w:val="decimal"/>
      <w:lvlText w:val="%1."/>
      <w:lvlJc w:val="left"/>
      <w:pPr>
        <w:ind w:left="153" w:hanging="360"/>
      </w:pPr>
    </w:lvl>
    <w:lvl w:ilvl="1" w:tplc="240A0001">
      <w:start w:val="1"/>
      <w:numFmt w:val="bullet"/>
      <w:lvlText w:val=""/>
      <w:lvlJc w:val="left"/>
      <w:pPr>
        <w:ind w:left="873" w:hanging="360"/>
      </w:pPr>
      <w:rPr>
        <w:rFonts w:ascii="Symbol" w:hAnsi="Symbol" w:hint="default"/>
      </w:r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4" w15:restartNumberingAfterBreak="0">
    <w:nsid w:val="18077F9D"/>
    <w:multiLevelType w:val="hybridMultilevel"/>
    <w:tmpl w:val="1284C65A"/>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5" w15:restartNumberingAfterBreak="0">
    <w:nsid w:val="19E52966"/>
    <w:multiLevelType w:val="hybridMultilevel"/>
    <w:tmpl w:val="EF10D20A"/>
    <w:lvl w:ilvl="0" w:tplc="FFFFFFFF">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D5861C8"/>
    <w:multiLevelType w:val="hybridMultilevel"/>
    <w:tmpl w:val="1B18DCA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7" w15:restartNumberingAfterBreak="0">
    <w:nsid w:val="23B45898"/>
    <w:multiLevelType w:val="multilevel"/>
    <w:tmpl w:val="DACEC60C"/>
    <w:lvl w:ilvl="0">
      <w:start w:val="1"/>
      <w:numFmt w:val="decimal"/>
      <w:pStyle w:val="TTitu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Restart w:val="1"/>
      <w:isLgl/>
      <w:lvlText w:val="%1.%2.%3."/>
      <w:lvlJc w:val="left"/>
      <w:pPr>
        <w:ind w:left="720" w:hanging="720"/>
      </w:pPr>
      <w:rPr>
        <w:rFonts w:hint="default"/>
      </w:rPr>
    </w:lvl>
    <w:lvl w:ilvl="3">
      <w:start w:val="1"/>
      <w:numFmt w:val="decimal"/>
      <w:lvlRestart w:val="1"/>
      <w:isLgl/>
      <w:lvlText w:val="%1.%2.%3.%4."/>
      <w:lvlJc w:val="left"/>
      <w:pPr>
        <w:ind w:left="720" w:hanging="720"/>
      </w:pPr>
      <w:rPr>
        <w:rFonts w:hint="default"/>
      </w:rPr>
    </w:lvl>
    <w:lvl w:ilvl="4">
      <w:start w:val="1"/>
      <w:numFmt w:val="decimal"/>
      <w:lvlRestart w:val="1"/>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71227F8"/>
    <w:multiLevelType w:val="hybridMultilevel"/>
    <w:tmpl w:val="390E2362"/>
    <w:lvl w:ilvl="0" w:tplc="240A0001">
      <w:start w:val="1"/>
      <w:numFmt w:val="bullet"/>
      <w:lvlText w:val=""/>
      <w:lvlJc w:val="left"/>
      <w:pPr>
        <w:ind w:left="360" w:hanging="360"/>
      </w:pPr>
      <w:rPr>
        <w:rFonts w:ascii="Symbol" w:hAnsi="Symbol" w:hint="default"/>
      </w:rPr>
    </w:lvl>
    <w:lvl w:ilvl="1" w:tplc="BC5E01D4">
      <w:numFmt w:val="bullet"/>
      <w:lvlText w:val="•"/>
      <w:lvlJc w:val="left"/>
      <w:pPr>
        <w:ind w:left="1290" w:hanging="570"/>
      </w:pPr>
      <w:rPr>
        <w:rFonts w:ascii="Calibri" w:eastAsiaTheme="minorHAns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710F1F"/>
    <w:multiLevelType w:val="hybridMultilevel"/>
    <w:tmpl w:val="8B8840A0"/>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0" w15:restartNumberingAfterBreak="0">
    <w:nsid w:val="2E327169"/>
    <w:multiLevelType w:val="hybridMultilevel"/>
    <w:tmpl w:val="380C897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1" w15:restartNumberingAfterBreak="0">
    <w:nsid w:val="32575E2A"/>
    <w:multiLevelType w:val="hybridMultilevel"/>
    <w:tmpl w:val="51C66BDA"/>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2" w15:restartNumberingAfterBreak="0">
    <w:nsid w:val="354D784D"/>
    <w:multiLevelType w:val="hybridMultilevel"/>
    <w:tmpl w:val="00CC03A0"/>
    <w:lvl w:ilvl="0" w:tplc="FFFFFFFF">
      <w:start w:val="1"/>
      <w:numFmt w:val="bullet"/>
      <w:lvlText w:val=""/>
      <w:lvlJc w:val="left"/>
      <w:pPr>
        <w:ind w:left="-207"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3" w15:restartNumberingAfterBreak="0">
    <w:nsid w:val="3B0C771A"/>
    <w:multiLevelType w:val="hybridMultilevel"/>
    <w:tmpl w:val="FD2630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E6D211D"/>
    <w:multiLevelType w:val="multilevel"/>
    <w:tmpl w:val="F93C3C68"/>
    <w:lvl w:ilvl="0">
      <w:start w:val="1"/>
      <w:numFmt w:val="decimal"/>
      <w:lvlText w:val="%1."/>
      <w:lvlJc w:val="left"/>
      <w:pPr>
        <w:ind w:left="720" w:hanging="360"/>
      </w:p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B73B8"/>
    <w:multiLevelType w:val="hybridMultilevel"/>
    <w:tmpl w:val="C67E8D5A"/>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6" w15:restartNumberingAfterBreak="0">
    <w:nsid w:val="4A2E0273"/>
    <w:multiLevelType w:val="multilevel"/>
    <w:tmpl w:val="B3D20E94"/>
    <w:lvl w:ilvl="0">
      <w:start w:val="1"/>
      <w:numFmt w:val="decimal"/>
      <w:pStyle w:val="Titulo1-IDECA"/>
      <w:lvlText w:val="%1."/>
      <w:lvlJc w:val="left"/>
      <w:pPr>
        <w:ind w:left="1080" w:hanging="720"/>
      </w:pPr>
      <w:rPr>
        <w:rFonts w:cs="Arial" w:hint="default"/>
      </w:rPr>
    </w:lvl>
    <w:lvl w:ilvl="1">
      <w:start w:val="1"/>
      <w:numFmt w:val="decimal"/>
      <w:isLgl/>
      <w:lvlText w:val="%1.%2"/>
      <w:lvlJc w:val="left"/>
      <w:pPr>
        <w:ind w:left="795" w:hanging="435"/>
      </w:pPr>
      <w:rPr>
        <w:rFonts w:hint="default"/>
        <w:b/>
        <w:sz w:val="22"/>
        <w:szCs w:val="22"/>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F537B8A"/>
    <w:multiLevelType w:val="hybridMultilevel"/>
    <w:tmpl w:val="3BC67E24"/>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8" w15:restartNumberingAfterBreak="0">
    <w:nsid w:val="501A44DF"/>
    <w:multiLevelType w:val="hybridMultilevel"/>
    <w:tmpl w:val="C8A619CA"/>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9" w15:restartNumberingAfterBreak="0">
    <w:nsid w:val="50754FB0"/>
    <w:multiLevelType w:val="hybridMultilevel"/>
    <w:tmpl w:val="B1FA54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68273C4"/>
    <w:multiLevelType w:val="hybridMultilevel"/>
    <w:tmpl w:val="0D40A29E"/>
    <w:lvl w:ilvl="0" w:tplc="240A0001">
      <w:start w:val="1"/>
      <w:numFmt w:val="bullet"/>
      <w:lvlText w:val=""/>
      <w:lvlJc w:val="left"/>
      <w:pPr>
        <w:ind w:left="1434" w:hanging="360"/>
      </w:pPr>
      <w:rPr>
        <w:rFonts w:ascii="Symbol" w:hAnsi="Symbol" w:hint="default"/>
      </w:rPr>
    </w:lvl>
    <w:lvl w:ilvl="1" w:tplc="A1E4149E">
      <w:start w:val="1"/>
      <w:numFmt w:val="bullet"/>
      <w:lvlText w:val=""/>
      <w:lvlJc w:val="left"/>
      <w:pPr>
        <w:ind w:left="2154" w:hanging="360"/>
      </w:pPr>
      <w:rPr>
        <w:rFonts w:ascii="Symbol" w:hAnsi="Symbol"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21" w15:restartNumberingAfterBreak="0">
    <w:nsid w:val="56BB1142"/>
    <w:multiLevelType w:val="hybridMultilevel"/>
    <w:tmpl w:val="7CB47364"/>
    <w:lvl w:ilvl="0" w:tplc="240A0001">
      <w:start w:val="1"/>
      <w:numFmt w:val="bullet"/>
      <w:lvlText w:val=""/>
      <w:lvlJc w:val="left"/>
      <w:pPr>
        <w:ind w:left="-207" w:hanging="360"/>
      </w:pPr>
      <w:rPr>
        <w:rFonts w:ascii="Symbol" w:hAnsi="Symbo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22" w15:restartNumberingAfterBreak="0">
    <w:nsid w:val="58BB4CEB"/>
    <w:multiLevelType w:val="hybridMultilevel"/>
    <w:tmpl w:val="3A763B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50F42E8"/>
    <w:multiLevelType w:val="hybridMultilevel"/>
    <w:tmpl w:val="F1D41B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56E6881"/>
    <w:multiLevelType w:val="hybridMultilevel"/>
    <w:tmpl w:val="B81817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B2A02CB"/>
    <w:multiLevelType w:val="hybridMultilevel"/>
    <w:tmpl w:val="A9A21F08"/>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26" w15:restartNumberingAfterBreak="0">
    <w:nsid w:val="6FDB003B"/>
    <w:multiLevelType w:val="hybridMultilevel"/>
    <w:tmpl w:val="070A6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47D2043"/>
    <w:multiLevelType w:val="hybridMultilevel"/>
    <w:tmpl w:val="C22C98FC"/>
    <w:lvl w:ilvl="0" w:tplc="240A000F">
      <w:start w:val="1"/>
      <w:numFmt w:val="decimal"/>
      <w:lvlText w:val="%1."/>
      <w:lvlJc w:val="left"/>
      <w:pPr>
        <w:ind w:left="720" w:hanging="360"/>
      </w:pPr>
    </w:lvl>
    <w:lvl w:ilvl="1" w:tplc="69F2C86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C3A0D5B"/>
    <w:multiLevelType w:val="hybridMultilevel"/>
    <w:tmpl w:val="EF1C8614"/>
    <w:lvl w:ilvl="0" w:tplc="240A0001">
      <w:start w:val="1"/>
      <w:numFmt w:val="bullet"/>
      <w:lvlText w:val=""/>
      <w:lvlJc w:val="left"/>
      <w:pPr>
        <w:ind w:left="708" w:hanging="360"/>
      </w:pPr>
      <w:rPr>
        <w:rFonts w:ascii="Symbol" w:hAnsi="Symbol" w:hint="default"/>
      </w:rPr>
    </w:lvl>
    <w:lvl w:ilvl="1" w:tplc="240A0019">
      <w:start w:val="1"/>
      <w:numFmt w:val="lowerLetter"/>
      <w:lvlText w:val="%2."/>
      <w:lvlJc w:val="left"/>
      <w:pPr>
        <w:ind w:left="1428" w:hanging="360"/>
      </w:pPr>
    </w:lvl>
    <w:lvl w:ilvl="2" w:tplc="240A001B">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29" w15:restartNumberingAfterBreak="0">
    <w:nsid w:val="7D5A4A14"/>
    <w:multiLevelType w:val="hybridMultilevel"/>
    <w:tmpl w:val="27A40D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5"/>
  </w:num>
  <w:num w:numId="4">
    <w:abstractNumId w:val="1"/>
  </w:num>
  <w:num w:numId="5">
    <w:abstractNumId w:val="7"/>
  </w:num>
  <w:num w:numId="6">
    <w:abstractNumId w:val="2"/>
  </w:num>
  <w:num w:numId="7">
    <w:abstractNumId w:val="26"/>
  </w:num>
  <w:num w:numId="8">
    <w:abstractNumId w:val="29"/>
  </w:num>
  <w:num w:numId="9">
    <w:abstractNumId w:val="20"/>
  </w:num>
  <w:num w:numId="10">
    <w:abstractNumId w:val="16"/>
  </w:num>
  <w:num w:numId="11">
    <w:abstractNumId w:val="28"/>
  </w:num>
  <w:num w:numId="12">
    <w:abstractNumId w:val="8"/>
  </w:num>
  <w:num w:numId="13">
    <w:abstractNumId w:val="0"/>
  </w:num>
  <w:num w:numId="14">
    <w:abstractNumId w:val="5"/>
  </w:num>
  <w:num w:numId="15">
    <w:abstractNumId w:val="21"/>
  </w:num>
  <w:num w:numId="16">
    <w:abstractNumId w:val="3"/>
  </w:num>
  <w:num w:numId="17">
    <w:abstractNumId w:val="4"/>
  </w:num>
  <w:num w:numId="18">
    <w:abstractNumId w:val="12"/>
  </w:num>
  <w:num w:numId="19">
    <w:abstractNumId w:val="9"/>
  </w:num>
  <w:num w:numId="20">
    <w:abstractNumId w:val="22"/>
  </w:num>
  <w:num w:numId="21">
    <w:abstractNumId w:val="23"/>
  </w:num>
  <w:num w:numId="22">
    <w:abstractNumId w:val="13"/>
  </w:num>
  <w:num w:numId="23">
    <w:abstractNumId w:val="19"/>
  </w:num>
  <w:num w:numId="24">
    <w:abstractNumId w:val="24"/>
  </w:num>
  <w:num w:numId="25">
    <w:abstractNumId w:val="17"/>
  </w:num>
  <w:num w:numId="26">
    <w:abstractNumId w:val="25"/>
  </w:num>
  <w:num w:numId="27">
    <w:abstractNumId w:val="11"/>
  </w:num>
  <w:num w:numId="28">
    <w:abstractNumId w:val="18"/>
  </w:num>
  <w:num w:numId="29">
    <w:abstractNumId w:val="6"/>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D8"/>
    <w:rsid w:val="0000213C"/>
    <w:rsid w:val="000148EF"/>
    <w:rsid w:val="000312BB"/>
    <w:rsid w:val="00044A5F"/>
    <w:rsid w:val="00061E7D"/>
    <w:rsid w:val="000769AB"/>
    <w:rsid w:val="000814BD"/>
    <w:rsid w:val="00093E75"/>
    <w:rsid w:val="000A0702"/>
    <w:rsid w:val="000C24D2"/>
    <w:rsid w:val="000E7318"/>
    <w:rsid w:val="000F41FF"/>
    <w:rsid w:val="001231C6"/>
    <w:rsid w:val="00127E1A"/>
    <w:rsid w:val="001411BD"/>
    <w:rsid w:val="0016425B"/>
    <w:rsid w:val="001812BC"/>
    <w:rsid w:val="00182D5B"/>
    <w:rsid w:val="0018557E"/>
    <w:rsid w:val="001A487E"/>
    <w:rsid w:val="001B5238"/>
    <w:rsid w:val="001B5BAF"/>
    <w:rsid w:val="001C42DF"/>
    <w:rsid w:val="001C47C8"/>
    <w:rsid w:val="001C4C07"/>
    <w:rsid w:val="001D4062"/>
    <w:rsid w:val="001E0169"/>
    <w:rsid w:val="001F126C"/>
    <w:rsid w:val="00206829"/>
    <w:rsid w:val="00210AE7"/>
    <w:rsid w:val="00217EAE"/>
    <w:rsid w:val="002662F2"/>
    <w:rsid w:val="00272A71"/>
    <w:rsid w:val="00274B3A"/>
    <w:rsid w:val="00274DDA"/>
    <w:rsid w:val="00286C7E"/>
    <w:rsid w:val="002C1C8D"/>
    <w:rsid w:val="002C4EFB"/>
    <w:rsid w:val="003113E9"/>
    <w:rsid w:val="00317716"/>
    <w:rsid w:val="003222D3"/>
    <w:rsid w:val="0032350F"/>
    <w:rsid w:val="0034326C"/>
    <w:rsid w:val="0035472A"/>
    <w:rsid w:val="00355371"/>
    <w:rsid w:val="003610FE"/>
    <w:rsid w:val="00392113"/>
    <w:rsid w:val="003B547C"/>
    <w:rsid w:val="003C0DAA"/>
    <w:rsid w:val="003D0EDF"/>
    <w:rsid w:val="003D31C8"/>
    <w:rsid w:val="003E7E5B"/>
    <w:rsid w:val="003F3A51"/>
    <w:rsid w:val="00401B27"/>
    <w:rsid w:val="00402074"/>
    <w:rsid w:val="0042073B"/>
    <w:rsid w:val="004421F5"/>
    <w:rsid w:val="00482949"/>
    <w:rsid w:val="00485235"/>
    <w:rsid w:val="004855AC"/>
    <w:rsid w:val="00490A3D"/>
    <w:rsid w:val="0049356C"/>
    <w:rsid w:val="004B4F73"/>
    <w:rsid w:val="004B5610"/>
    <w:rsid w:val="004C05E6"/>
    <w:rsid w:val="004F4E31"/>
    <w:rsid w:val="004F52B3"/>
    <w:rsid w:val="00505859"/>
    <w:rsid w:val="005059E3"/>
    <w:rsid w:val="00510C34"/>
    <w:rsid w:val="00516916"/>
    <w:rsid w:val="00530D33"/>
    <w:rsid w:val="00531E5E"/>
    <w:rsid w:val="005417BE"/>
    <w:rsid w:val="0054564C"/>
    <w:rsid w:val="0054754B"/>
    <w:rsid w:val="00561FF9"/>
    <w:rsid w:val="00570E7D"/>
    <w:rsid w:val="00576031"/>
    <w:rsid w:val="00577379"/>
    <w:rsid w:val="00585EE2"/>
    <w:rsid w:val="005C347A"/>
    <w:rsid w:val="005D14A9"/>
    <w:rsid w:val="005F0976"/>
    <w:rsid w:val="006034A6"/>
    <w:rsid w:val="00606E40"/>
    <w:rsid w:val="00622D1F"/>
    <w:rsid w:val="00660EE8"/>
    <w:rsid w:val="00662758"/>
    <w:rsid w:val="00665E49"/>
    <w:rsid w:val="006C3CAF"/>
    <w:rsid w:val="006D0643"/>
    <w:rsid w:val="006E1EF8"/>
    <w:rsid w:val="00715F4C"/>
    <w:rsid w:val="00716974"/>
    <w:rsid w:val="0071792A"/>
    <w:rsid w:val="007728C4"/>
    <w:rsid w:val="0079632A"/>
    <w:rsid w:val="00797D7D"/>
    <w:rsid w:val="007A1A09"/>
    <w:rsid w:val="007A581C"/>
    <w:rsid w:val="007B0C6D"/>
    <w:rsid w:val="007B1751"/>
    <w:rsid w:val="007C7657"/>
    <w:rsid w:val="007F02C5"/>
    <w:rsid w:val="007F3193"/>
    <w:rsid w:val="00804825"/>
    <w:rsid w:val="0081400B"/>
    <w:rsid w:val="00825B10"/>
    <w:rsid w:val="00836DCB"/>
    <w:rsid w:val="008458FD"/>
    <w:rsid w:val="00857DFB"/>
    <w:rsid w:val="008912A8"/>
    <w:rsid w:val="00891D6E"/>
    <w:rsid w:val="008C0685"/>
    <w:rsid w:val="008E3149"/>
    <w:rsid w:val="008F1AFA"/>
    <w:rsid w:val="008F6A59"/>
    <w:rsid w:val="00921B64"/>
    <w:rsid w:val="00923380"/>
    <w:rsid w:val="00955693"/>
    <w:rsid w:val="00956E65"/>
    <w:rsid w:val="00961E2A"/>
    <w:rsid w:val="00982076"/>
    <w:rsid w:val="009861E3"/>
    <w:rsid w:val="00996A8E"/>
    <w:rsid w:val="009A78B9"/>
    <w:rsid w:val="009A7985"/>
    <w:rsid w:val="009B76A7"/>
    <w:rsid w:val="009D113F"/>
    <w:rsid w:val="009E0B6F"/>
    <w:rsid w:val="009E1790"/>
    <w:rsid w:val="009E2852"/>
    <w:rsid w:val="009F0059"/>
    <w:rsid w:val="009F4E81"/>
    <w:rsid w:val="00A059A6"/>
    <w:rsid w:val="00A37C88"/>
    <w:rsid w:val="00A4015C"/>
    <w:rsid w:val="00A43EB9"/>
    <w:rsid w:val="00A80820"/>
    <w:rsid w:val="00AA6318"/>
    <w:rsid w:val="00AB41AE"/>
    <w:rsid w:val="00AB5608"/>
    <w:rsid w:val="00AC5F21"/>
    <w:rsid w:val="00AD366B"/>
    <w:rsid w:val="00B024A5"/>
    <w:rsid w:val="00B12A9C"/>
    <w:rsid w:val="00B252A9"/>
    <w:rsid w:val="00B3457B"/>
    <w:rsid w:val="00B37D1F"/>
    <w:rsid w:val="00B53F3A"/>
    <w:rsid w:val="00B64F4C"/>
    <w:rsid w:val="00B67BA0"/>
    <w:rsid w:val="00B760C8"/>
    <w:rsid w:val="00B971D5"/>
    <w:rsid w:val="00BE2E3F"/>
    <w:rsid w:val="00BF1D83"/>
    <w:rsid w:val="00BF400C"/>
    <w:rsid w:val="00BF5FF3"/>
    <w:rsid w:val="00C0667D"/>
    <w:rsid w:val="00C127CB"/>
    <w:rsid w:val="00C12ACB"/>
    <w:rsid w:val="00C3424E"/>
    <w:rsid w:val="00C418CE"/>
    <w:rsid w:val="00C51970"/>
    <w:rsid w:val="00C71BDA"/>
    <w:rsid w:val="00C93433"/>
    <w:rsid w:val="00CB0844"/>
    <w:rsid w:val="00CD30BC"/>
    <w:rsid w:val="00CE791F"/>
    <w:rsid w:val="00CF2707"/>
    <w:rsid w:val="00D34F6D"/>
    <w:rsid w:val="00D376C9"/>
    <w:rsid w:val="00D4006F"/>
    <w:rsid w:val="00D40ECB"/>
    <w:rsid w:val="00D42FC2"/>
    <w:rsid w:val="00D46AF9"/>
    <w:rsid w:val="00D604A5"/>
    <w:rsid w:val="00D608E4"/>
    <w:rsid w:val="00D6628B"/>
    <w:rsid w:val="00D86703"/>
    <w:rsid w:val="00D87C8A"/>
    <w:rsid w:val="00DB47CF"/>
    <w:rsid w:val="00DC3E41"/>
    <w:rsid w:val="00DC6723"/>
    <w:rsid w:val="00DC7FCF"/>
    <w:rsid w:val="00DD3DB8"/>
    <w:rsid w:val="00DE41C8"/>
    <w:rsid w:val="00E03970"/>
    <w:rsid w:val="00E056C1"/>
    <w:rsid w:val="00E058BF"/>
    <w:rsid w:val="00E07CF6"/>
    <w:rsid w:val="00E200B3"/>
    <w:rsid w:val="00E45379"/>
    <w:rsid w:val="00E554AF"/>
    <w:rsid w:val="00E67199"/>
    <w:rsid w:val="00E76D4C"/>
    <w:rsid w:val="00E80164"/>
    <w:rsid w:val="00E82475"/>
    <w:rsid w:val="00E83216"/>
    <w:rsid w:val="00E83A4A"/>
    <w:rsid w:val="00E847E4"/>
    <w:rsid w:val="00E84C4E"/>
    <w:rsid w:val="00E972C8"/>
    <w:rsid w:val="00EA7C7C"/>
    <w:rsid w:val="00EB0AD8"/>
    <w:rsid w:val="00F050DD"/>
    <w:rsid w:val="00F062A3"/>
    <w:rsid w:val="00F14223"/>
    <w:rsid w:val="00F34745"/>
    <w:rsid w:val="00F47E2B"/>
    <w:rsid w:val="00F504B4"/>
    <w:rsid w:val="00F50784"/>
    <w:rsid w:val="00F663F7"/>
    <w:rsid w:val="00F73D50"/>
    <w:rsid w:val="00F92486"/>
    <w:rsid w:val="00F9591B"/>
    <w:rsid w:val="00F95D41"/>
    <w:rsid w:val="00FB217A"/>
    <w:rsid w:val="00FB450E"/>
    <w:rsid w:val="00FD1CBB"/>
    <w:rsid w:val="00FD72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7CD1"/>
  <w15:docId w15:val="{785895B9-4B22-4B70-A24A-3BC4000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923380"/>
    <w:pPr>
      <w:keepNext/>
      <w:spacing w:after="0" w:line="240" w:lineRule="auto"/>
      <w:jc w:val="center"/>
      <w:outlineLvl w:val="0"/>
    </w:pPr>
    <w:rPr>
      <w:rFonts w:ascii="Arial" w:eastAsia="Times New Roman" w:hAnsi="Arial" w:cs="Times New Roman"/>
      <w:b/>
      <w:bCs/>
      <w:szCs w:val="20"/>
      <w:lang w:val="es-ES" w:eastAsia="es-ES"/>
    </w:rPr>
  </w:style>
  <w:style w:type="paragraph" w:styleId="Ttulo2">
    <w:name w:val="heading 2"/>
    <w:basedOn w:val="Normal"/>
    <w:next w:val="Normal"/>
    <w:link w:val="Ttulo2Car"/>
    <w:unhideWhenUsed/>
    <w:qFormat/>
    <w:rsid w:val="00210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0F41FF"/>
    <w:pPr>
      <w:keepNext/>
      <w:keepLines/>
      <w:spacing w:before="40" w:after="0" w:line="259" w:lineRule="auto"/>
      <w:outlineLvl w:val="2"/>
    </w:pPr>
    <w:rPr>
      <w:rFonts w:ascii="Calibri" w:eastAsiaTheme="majorEastAsia" w:hAnsi="Calibri" w:cstheme="majorBidi"/>
      <w:b/>
      <w:color w:val="243F60" w:themeColor="accent1" w:themeShade="7F"/>
      <w:sz w:val="28"/>
      <w:szCs w:val="24"/>
    </w:rPr>
  </w:style>
  <w:style w:type="paragraph" w:styleId="Ttulo4">
    <w:name w:val="heading 4"/>
    <w:basedOn w:val="Normal"/>
    <w:next w:val="Normal"/>
    <w:link w:val="Ttulo4Car"/>
    <w:unhideWhenUsed/>
    <w:qFormat/>
    <w:rsid w:val="00836DC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0F41FF"/>
    <w:pPr>
      <w:keepNext/>
      <w:keepLines/>
      <w:spacing w:before="200" w:after="0" w:line="259" w:lineRule="auto"/>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F41FF"/>
    <w:pPr>
      <w:keepNext/>
      <w:keepLines/>
      <w:spacing w:before="200" w:after="0" w:line="259" w:lineRule="auto"/>
      <w:ind w:left="1152" w:hanging="1152"/>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F41F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F41F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F41F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0AD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unhideWhenUsed/>
    <w:rsid w:val="00EB0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B0AD8"/>
    <w:rPr>
      <w:rFonts w:ascii="Tahoma" w:hAnsi="Tahoma" w:cs="Tahoma"/>
      <w:sz w:val="16"/>
      <w:szCs w:val="16"/>
    </w:rPr>
  </w:style>
  <w:style w:type="character" w:styleId="Hipervnculo">
    <w:name w:val="Hyperlink"/>
    <w:basedOn w:val="Fuentedeprrafopredeter"/>
    <w:uiPriority w:val="99"/>
    <w:unhideWhenUsed/>
    <w:rsid w:val="00961E2A"/>
    <w:rPr>
      <w:color w:val="0000FF" w:themeColor="hyperlink"/>
      <w:u w:val="single"/>
    </w:rPr>
  </w:style>
  <w:style w:type="character" w:customStyle="1" w:styleId="Ttulo1Car">
    <w:name w:val="Título 1 Car"/>
    <w:basedOn w:val="Fuentedeprrafopredeter"/>
    <w:link w:val="Ttulo1"/>
    <w:rsid w:val="00923380"/>
    <w:rPr>
      <w:rFonts w:ascii="Arial" w:eastAsia="Times New Roman" w:hAnsi="Arial" w:cs="Times New Roman"/>
      <w:b/>
      <w:bCs/>
      <w:szCs w:val="20"/>
      <w:lang w:val="es-ES" w:eastAsia="es-ES"/>
    </w:rPr>
  </w:style>
  <w:style w:type="character" w:styleId="Refdenotaalpie">
    <w:name w:val="footnote reference"/>
    <w:aliases w:val="Footnote symbol"/>
    <w:uiPriority w:val="99"/>
    <w:rsid w:val="00923380"/>
    <w:rPr>
      <w:vertAlign w:val="superscript"/>
    </w:rPr>
  </w:style>
  <w:style w:type="paragraph" w:styleId="Textonotapie">
    <w:name w:val="footnote text"/>
    <w:aliases w:val="ft,Texto nota pie2,ft1,ft Car Car Car1,Texto nota pie Car2,ft Car Car2,ft Car Car,ft Car Car Car"/>
    <w:basedOn w:val="Normal"/>
    <w:link w:val="TextonotapieCar"/>
    <w:unhideWhenUsed/>
    <w:rsid w:val="003E7E5B"/>
    <w:pPr>
      <w:spacing w:after="0" w:line="240" w:lineRule="auto"/>
    </w:pPr>
    <w:rPr>
      <w:sz w:val="20"/>
      <w:szCs w:val="20"/>
    </w:rPr>
  </w:style>
  <w:style w:type="character" w:customStyle="1" w:styleId="TextonotapieCar">
    <w:name w:val="Texto nota pie Car"/>
    <w:aliases w:val="ft Car,Texto nota pie2 Car1,ft1 Car1,ft Car Car Car1 Car1,Texto nota pie Car2 Car1,ft Car Car2 Car1,ft Car Car Car3,ft Car Car Car Car1"/>
    <w:basedOn w:val="Fuentedeprrafopredeter"/>
    <w:link w:val="Textonotapie"/>
    <w:rsid w:val="003E7E5B"/>
    <w:rPr>
      <w:sz w:val="20"/>
      <w:szCs w:val="20"/>
    </w:rPr>
  </w:style>
  <w:style w:type="paragraph" w:styleId="Prrafodelista">
    <w:name w:val="List Paragraph"/>
    <w:aliases w:val="LISTA,List Paragraph,Párrafo de lista2,Ha,Resume Title,Párrafo de lista en tabla de sistematización,Bullet List,FooterText,numbered,List Paragraph1,Paragraphe de liste1,lp1,HOJA,Colorful List Accent 1,Colorful List - Accent 11,titulo 3"/>
    <w:basedOn w:val="Normal"/>
    <w:link w:val="PrrafodelistaCar"/>
    <w:uiPriority w:val="34"/>
    <w:qFormat/>
    <w:rsid w:val="00BF400C"/>
    <w:pPr>
      <w:ind w:left="720"/>
      <w:contextualSpacing/>
    </w:pPr>
  </w:style>
  <w:style w:type="character" w:customStyle="1" w:styleId="Ttulo2Car">
    <w:name w:val="Título 2 Car"/>
    <w:basedOn w:val="Fuentedeprrafopredeter"/>
    <w:link w:val="Ttulo2"/>
    <w:rsid w:val="00210AE7"/>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530D33"/>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O" w:eastAsia="es-CO"/>
    </w:rPr>
  </w:style>
  <w:style w:type="paragraph" w:styleId="Ttulo">
    <w:name w:val="Title"/>
    <w:basedOn w:val="Normal"/>
    <w:next w:val="Normal"/>
    <w:link w:val="TtuloCar"/>
    <w:qFormat/>
    <w:rsid w:val="00530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0D33"/>
    <w:rPr>
      <w:rFonts w:asciiTheme="majorHAnsi" w:eastAsiaTheme="majorEastAsia" w:hAnsiTheme="majorHAnsi" w:cstheme="majorBidi"/>
      <w:color w:val="17365D" w:themeColor="text2" w:themeShade="BF"/>
      <w:spacing w:val="5"/>
      <w:kern w:val="28"/>
      <w:sz w:val="52"/>
      <w:szCs w:val="52"/>
    </w:rPr>
  </w:style>
  <w:style w:type="paragraph" w:styleId="TDC1">
    <w:name w:val="toc 1"/>
    <w:basedOn w:val="Normal"/>
    <w:next w:val="Normal"/>
    <w:autoRedefine/>
    <w:uiPriority w:val="39"/>
    <w:unhideWhenUsed/>
    <w:qFormat/>
    <w:rsid w:val="00530D33"/>
    <w:pPr>
      <w:spacing w:after="100"/>
    </w:pPr>
  </w:style>
  <w:style w:type="paragraph" w:styleId="Sinespaciado">
    <w:name w:val="No Spacing"/>
    <w:link w:val="SinespaciadoCar"/>
    <w:uiPriority w:val="1"/>
    <w:qFormat/>
    <w:rsid w:val="007F3193"/>
    <w:pPr>
      <w:spacing w:after="0" w:line="240" w:lineRule="auto"/>
    </w:pPr>
    <w:rPr>
      <w:rFonts w:ascii="Cambria" w:eastAsia="Times New Roman" w:hAnsi="Cambria" w:cs="Times New Roman"/>
    </w:rPr>
  </w:style>
  <w:style w:type="character" w:customStyle="1" w:styleId="SinespaciadoCar">
    <w:name w:val="Sin espaciado Car"/>
    <w:basedOn w:val="Fuentedeprrafopredeter"/>
    <w:link w:val="Sinespaciado"/>
    <w:uiPriority w:val="1"/>
    <w:rsid w:val="007F3193"/>
    <w:rPr>
      <w:rFonts w:ascii="Cambria" w:eastAsia="Times New Roman" w:hAnsi="Cambria" w:cs="Times New Roman"/>
    </w:rPr>
  </w:style>
  <w:style w:type="character" w:customStyle="1" w:styleId="Ttulo4Car">
    <w:name w:val="Título 4 Car"/>
    <w:basedOn w:val="Fuentedeprrafopredeter"/>
    <w:link w:val="Ttulo4"/>
    <w:rsid w:val="00836DCB"/>
    <w:rPr>
      <w:rFonts w:asciiTheme="majorHAnsi" w:eastAsiaTheme="majorEastAsia" w:hAnsiTheme="majorHAnsi" w:cstheme="majorBidi"/>
      <w:b/>
      <w:bCs/>
      <w:i/>
      <w:iCs/>
      <w:color w:val="4F81BD" w:themeColor="accent1"/>
    </w:rPr>
  </w:style>
  <w:style w:type="paragraph" w:styleId="Descripcin">
    <w:name w:val="caption"/>
    <w:basedOn w:val="Normal"/>
    <w:next w:val="Normal"/>
    <w:uiPriority w:val="35"/>
    <w:unhideWhenUsed/>
    <w:qFormat/>
    <w:rsid w:val="00836DCB"/>
    <w:pPr>
      <w:spacing w:line="240" w:lineRule="auto"/>
    </w:pPr>
    <w:rPr>
      <w:rFonts w:eastAsiaTheme="minorEastAsia"/>
      <w:b/>
      <w:bCs/>
      <w:color w:val="4F81BD" w:themeColor="accent1"/>
      <w:sz w:val="18"/>
      <w:szCs w:val="18"/>
      <w:lang w:eastAsia="es-CO"/>
    </w:rPr>
  </w:style>
  <w:style w:type="table" w:styleId="Tablaconcuadrcula">
    <w:name w:val="Table Grid"/>
    <w:basedOn w:val="Tablanormal"/>
    <w:uiPriority w:val="39"/>
    <w:rsid w:val="00836DC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Car,List Paragraph Car,Párrafo de lista2 Car,Ha Car,Resume Title Car,Párrafo de lista en tabla de sistematización Car,Bullet List Car,FooterText Car,numbered Car,List Paragraph1 Car,Paragraphe de liste1 Car,lp1 Car,HOJA Car"/>
    <w:basedOn w:val="Fuentedeprrafopredeter"/>
    <w:link w:val="Prrafodelista"/>
    <w:uiPriority w:val="34"/>
    <w:qFormat/>
    <w:rsid w:val="00836DCB"/>
  </w:style>
  <w:style w:type="character" w:customStyle="1" w:styleId="TextoCar">
    <w:name w:val="Texto Car"/>
    <w:basedOn w:val="Fuentedeprrafopredeter"/>
    <w:link w:val="Texto"/>
    <w:locked/>
    <w:rsid w:val="00836DCB"/>
    <w:rPr>
      <w:shd w:val="clear" w:color="auto" w:fill="FFFFFF" w:themeFill="background1"/>
    </w:rPr>
  </w:style>
  <w:style w:type="paragraph" w:customStyle="1" w:styleId="Texto">
    <w:name w:val="Texto"/>
    <w:basedOn w:val="Normal"/>
    <w:link w:val="TextoCar"/>
    <w:qFormat/>
    <w:rsid w:val="00836DCB"/>
    <w:pPr>
      <w:shd w:val="clear" w:color="auto" w:fill="FFFFFF" w:themeFill="background1"/>
      <w:spacing w:after="120" w:line="240" w:lineRule="auto"/>
      <w:ind w:left="357"/>
      <w:jc w:val="both"/>
    </w:pPr>
  </w:style>
  <w:style w:type="table" w:customStyle="1" w:styleId="Listaclara-nfasis11">
    <w:name w:val="Lista clara - Énfasis 11"/>
    <w:basedOn w:val="Tablanormal"/>
    <w:uiPriority w:val="61"/>
    <w:rsid w:val="00570E7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itulo1Car">
    <w:name w:val="TTitulo 1 Car"/>
    <w:link w:val="TTitulo1"/>
    <w:locked/>
    <w:rsid w:val="00E056C1"/>
    <w:rPr>
      <w:rFonts w:ascii="Arial" w:eastAsia="Arial" w:hAnsi="Arial" w:cs="Arial"/>
      <w:b/>
      <w:color w:val="0070C0"/>
      <w:kern w:val="2"/>
      <w:sz w:val="24"/>
      <w:szCs w:val="28"/>
      <w:lang w:eastAsia="zh-CN" w:bidi="hi-IN"/>
    </w:rPr>
  </w:style>
  <w:style w:type="paragraph" w:customStyle="1" w:styleId="TTitulo1">
    <w:name w:val="TTitulo 1"/>
    <w:basedOn w:val="Normal"/>
    <w:link w:val="TTitulo1Car"/>
    <w:qFormat/>
    <w:rsid w:val="00E056C1"/>
    <w:pPr>
      <w:widowControl w:val="0"/>
      <w:numPr>
        <w:numId w:val="5"/>
      </w:numPr>
      <w:suppressAutoHyphens/>
      <w:autoSpaceDE w:val="0"/>
      <w:spacing w:after="0" w:line="240" w:lineRule="auto"/>
    </w:pPr>
    <w:rPr>
      <w:rFonts w:ascii="Arial" w:eastAsia="Arial" w:hAnsi="Arial" w:cs="Arial"/>
      <w:b/>
      <w:color w:val="0070C0"/>
      <w:kern w:val="2"/>
      <w:sz w:val="24"/>
      <w:szCs w:val="28"/>
      <w:lang w:eastAsia="zh-CN" w:bidi="hi-IN"/>
    </w:rPr>
  </w:style>
  <w:style w:type="paragraph" w:styleId="TDC2">
    <w:name w:val="toc 2"/>
    <w:basedOn w:val="Normal"/>
    <w:next w:val="Normal"/>
    <w:autoRedefine/>
    <w:uiPriority w:val="39"/>
    <w:unhideWhenUsed/>
    <w:qFormat/>
    <w:rsid w:val="00CB0844"/>
    <w:pPr>
      <w:spacing w:after="100" w:line="259" w:lineRule="auto"/>
      <w:ind w:left="220"/>
    </w:pPr>
    <w:rPr>
      <w:rFonts w:eastAsiaTheme="minorEastAsia" w:cs="Times New Roman"/>
      <w:lang w:eastAsia="es-CO"/>
    </w:rPr>
  </w:style>
  <w:style w:type="paragraph" w:styleId="TDC3">
    <w:name w:val="toc 3"/>
    <w:basedOn w:val="Normal"/>
    <w:next w:val="Normal"/>
    <w:autoRedefine/>
    <w:uiPriority w:val="39"/>
    <w:unhideWhenUsed/>
    <w:qFormat/>
    <w:rsid w:val="00CB0844"/>
    <w:pPr>
      <w:spacing w:after="100" w:line="259" w:lineRule="auto"/>
      <w:ind w:left="440"/>
    </w:pPr>
    <w:rPr>
      <w:rFonts w:eastAsiaTheme="minorEastAsia" w:cs="Times New Roman"/>
      <w:lang w:eastAsia="es-CO"/>
    </w:rPr>
  </w:style>
  <w:style w:type="paragraph" w:styleId="Encabezado">
    <w:name w:val="header"/>
    <w:basedOn w:val="Normal"/>
    <w:link w:val="EncabezadoCar"/>
    <w:unhideWhenUsed/>
    <w:rsid w:val="009861E3"/>
    <w:pPr>
      <w:tabs>
        <w:tab w:val="center" w:pos="4419"/>
        <w:tab w:val="right" w:pos="8838"/>
      </w:tabs>
      <w:spacing w:after="0" w:line="240" w:lineRule="auto"/>
    </w:pPr>
  </w:style>
  <w:style w:type="character" w:customStyle="1" w:styleId="EncabezadoCar">
    <w:name w:val="Encabezado Car"/>
    <w:basedOn w:val="Fuentedeprrafopredeter"/>
    <w:link w:val="Encabezado"/>
    <w:rsid w:val="009861E3"/>
  </w:style>
  <w:style w:type="paragraph" w:styleId="Piedepgina">
    <w:name w:val="footer"/>
    <w:basedOn w:val="Normal"/>
    <w:link w:val="PiedepginaCar"/>
    <w:unhideWhenUsed/>
    <w:rsid w:val="009861E3"/>
    <w:pPr>
      <w:tabs>
        <w:tab w:val="center" w:pos="4419"/>
        <w:tab w:val="right" w:pos="8838"/>
      </w:tabs>
      <w:spacing w:after="0" w:line="240" w:lineRule="auto"/>
    </w:pPr>
  </w:style>
  <w:style w:type="character" w:customStyle="1" w:styleId="PiedepginaCar">
    <w:name w:val="Pie de página Car"/>
    <w:basedOn w:val="Fuentedeprrafopredeter"/>
    <w:link w:val="Piedepgina"/>
    <w:rsid w:val="009861E3"/>
  </w:style>
  <w:style w:type="table" w:customStyle="1" w:styleId="Tablaconcuadrcula5oscura-nfasis32">
    <w:name w:val="Tabla con cuadrícula 5 oscura - Énfasis 32"/>
    <w:basedOn w:val="Tablanormal"/>
    <w:uiPriority w:val="50"/>
    <w:rsid w:val="003F3A5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estion1">
    <w:name w:val="gestion1"/>
    <w:basedOn w:val="Tablanormal"/>
    <w:next w:val="Listaoscura"/>
    <w:uiPriority w:val="70"/>
    <w:rsid w:val="0018557E"/>
    <w:pPr>
      <w:spacing w:after="0" w:line="240" w:lineRule="auto"/>
    </w:pPr>
    <w:rPr>
      <w:rFonts w:ascii="Calibri Light" w:eastAsia="Cambria" w:hAnsi="Calibri Light" w:cs="Cambria"/>
      <w:color w:val="595959"/>
      <w:sz w:val="20"/>
      <w:szCs w:val="24"/>
      <w:lang w:val="es-ES_tradnl"/>
    </w:rPr>
    <w:tblPr>
      <w:tblStyleRowBandSize w:val="1"/>
      <w:tblStyleColBandSize w:val="1"/>
      <w:tblBorders>
        <w:insideH w:val="dotted" w:sz="4" w:space="0" w:color="FFFFFF"/>
        <w:insideV w:val="dotted" w:sz="4" w:space="0" w:color="FFFFFF"/>
      </w:tblBorders>
    </w:tblPr>
    <w:tcPr>
      <w:shd w:val="clear" w:color="auto" w:fill="F2F2F2"/>
      <w:vAlign w:val="center"/>
    </w:tcPr>
    <w:tblStylePr w:type="firstRow">
      <w:pPr>
        <w:jc w:val="center"/>
      </w:pPr>
      <w:rPr>
        <w:rFonts w:ascii="Calibri Light" w:hAnsi="Calibri Light"/>
        <w:b w:val="0"/>
        <w:bCs/>
        <w:color w:val="FFFFFF"/>
        <w:sz w:val="20"/>
      </w:rPr>
      <w:tblPr/>
      <w:tcPr>
        <w:tcBorders>
          <w:top w:val="nil"/>
          <w:left w:val="nil"/>
          <w:bottom w:val="nil"/>
          <w:right w:val="nil"/>
          <w:insideH w:val="nil"/>
          <w:insideV w:val="nil"/>
          <w:tl2br w:val="nil"/>
          <w:tr2bl w:val="nil"/>
        </w:tcBorders>
        <w:shd w:val="clear" w:color="auto" w:fill="00B0F0"/>
      </w:tcPr>
    </w:tblStylePr>
    <w:tblStylePr w:type="lastRow">
      <w:tblPr/>
      <w:tcPr>
        <w:shd w:val="clear" w:color="auto" w:fill="F2F2F2"/>
      </w:tcPr>
    </w:tblStylePr>
    <w:tblStylePr w:type="firstCol">
      <w:tblPr/>
      <w:tcPr>
        <w:shd w:val="clear" w:color="auto" w:fill="F2F2F2"/>
      </w:tcPr>
    </w:tblStylePr>
    <w:tblStylePr w:type="lastCol">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styleId="Listaoscura">
    <w:name w:val="Dark List"/>
    <w:aliases w:val="gestion"/>
    <w:basedOn w:val="Tablanormal"/>
    <w:uiPriority w:val="70"/>
    <w:unhideWhenUsed/>
    <w:rsid w:val="001855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NormalTable0">
    <w:name w:val="Normal Table0"/>
    <w:basedOn w:val="Tablanormal"/>
    <w:uiPriority w:val="2"/>
    <w:semiHidden/>
    <w:unhideWhenUsed/>
    <w:qFormat/>
    <w:rsid w:val="0018557E"/>
    <w:pPr>
      <w:widowControl w:val="0"/>
      <w:autoSpaceDE w:val="0"/>
      <w:autoSpaceDN w:val="0"/>
      <w:spacing w:after="0" w:line="240" w:lineRule="auto"/>
    </w:pPr>
    <w:rPr>
      <w:lang w:val="en-US"/>
    </w:rPr>
    <w:tblPr>
      <w:tblCellMar>
        <w:left w:w="0" w:type="dxa"/>
        <w:right w:w="0" w:type="dxa"/>
      </w:tblCellMar>
    </w:tblPr>
  </w:style>
  <w:style w:type="table" w:customStyle="1" w:styleId="Tablaconcuadrcula4-nfasis11">
    <w:name w:val="Tabla con cuadrícula 4 - Énfasis 11"/>
    <w:basedOn w:val="Tablanormal"/>
    <w:uiPriority w:val="49"/>
    <w:rsid w:val="0018557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tulo3Car">
    <w:name w:val="Título 3 Car"/>
    <w:basedOn w:val="Fuentedeprrafopredeter"/>
    <w:link w:val="Ttulo3"/>
    <w:rsid w:val="000F41FF"/>
    <w:rPr>
      <w:rFonts w:ascii="Calibri" w:eastAsiaTheme="majorEastAsia" w:hAnsi="Calibri" w:cstheme="majorBidi"/>
      <w:b/>
      <w:color w:val="243F60" w:themeColor="accent1" w:themeShade="7F"/>
      <w:sz w:val="28"/>
      <w:szCs w:val="24"/>
    </w:rPr>
  </w:style>
  <w:style w:type="character" w:customStyle="1" w:styleId="Ttulo5Car">
    <w:name w:val="Título 5 Car"/>
    <w:basedOn w:val="Fuentedeprrafopredeter"/>
    <w:link w:val="Ttulo5"/>
    <w:rsid w:val="000F41F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F41F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F41F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F41F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F41FF"/>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unhideWhenUsed/>
    <w:rsid w:val="000F41FF"/>
    <w:rPr>
      <w:sz w:val="16"/>
      <w:szCs w:val="16"/>
    </w:rPr>
  </w:style>
  <w:style w:type="paragraph" w:styleId="Textocomentario">
    <w:name w:val="annotation text"/>
    <w:basedOn w:val="Normal"/>
    <w:link w:val="TextocomentarioCar"/>
    <w:uiPriority w:val="99"/>
    <w:unhideWhenUsed/>
    <w:rsid w:val="000F41FF"/>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0F41FF"/>
    <w:rPr>
      <w:sz w:val="20"/>
      <w:szCs w:val="20"/>
    </w:rPr>
  </w:style>
  <w:style w:type="paragraph" w:styleId="Asuntodelcomentario">
    <w:name w:val="annotation subject"/>
    <w:basedOn w:val="Textocomentario"/>
    <w:next w:val="Textocomentario"/>
    <w:link w:val="AsuntodelcomentarioCar"/>
    <w:uiPriority w:val="99"/>
    <w:semiHidden/>
    <w:unhideWhenUsed/>
    <w:rsid w:val="000F41FF"/>
    <w:rPr>
      <w:b/>
      <w:bCs/>
    </w:rPr>
  </w:style>
  <w:style w:type="character" w:customStyle="1" w:styleId="AsuntodelcomentarioCar">
    <w:name w:val="Asunto del comentario Car"/>
    <w:basedOn w:val="TextocomentarioCar"/>
    <w:link w:val="Asuntodelcomentario"/>
    <w:uiPriority w:val="99"/>
    <w:semiHidden/>
    <w:rsid w:val="000F41FF"/>
    <w:rPr>
      <w:b/>
      <w:bCs/>
      <w:sz w:val="20"/>
      <w:szCs w:val="20"/>
    </w:rPr>
  </w:style>
  <w:style w:type="paragraph" w:customStyle="1" w:styleId="Default">
    <w:name w:val="Default"/>
    <w:rsid w:val="000F41FF"/>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39"/>
    <w:rsid w:val="000F41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0F41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F41FF"/>
  </w:style>
  <w:style w:type="paragraph" w:styleId="Textoindependiente2">
    <w:name w:val="Body Text 2"/>
    <w:basedOn w:val="Normal"/>
    <w:link w:val="Textoindependiente2Car"/>
    <w:unhideWhenUsed/>
    <w:rsid w:val="000F41FF"/>
    <w:pPr>
      <w:spacing w:after="120" w:line="480" w:lineRule="auto"/>
    </w:pPr>
    <w:rPr>
      <w:lang w:val="es-ES"/>
    </w:rPr>
  </w:style>
  <w:style w:type="character" w:customStyle="1" w:styleId="Textoindependiente2Car">
    <w:name w:val="Texto independiente 2 Car"/>
    <w:basedOn w:val="Fuentedeprrafopredeter"/>
    <w:link w:val="Textoindependiente2"/>
    <w:rsid w:val="000F41FF"/>
    <w:rPr>
      <w:lang w:val="es-ES"/>
    </w:rPr>
  </w:style>
  <w:style w:type="paragraph" w:styleId="Textoindependiente">
    <w:name w:val="Body Text"/>
    <w:basedOn w:val="Normal"/>
    <w:link w:val="TextoindependienteCar"/>
    <w:unhideWhenUsed/>
    <w:qFormat/>
    <w:rsid w:val="000F41FF"/>
    <w:pPr>
      <w:spacing w:after="120" w:line="259" w:lineRule="auto"/>
    </w:pPr>
  </w:style>
  <w:style w:type="character" w:customStyle="1" w:styleId="TextoindependienteCar">
    <w:name w:val="Texto independiente Car"/>
    <w:basedOn w:val="Fuentedeprrafopredeter"/>
    <w:link w:val="Textoindependiente"/>
    <w:rsid w:val="000F41FF"/>
  </w:style>
  <w:style w:type="character" w:customStyle="1" w:styleId="Rtulodeencabezadodemensaje">
    <w:name w:val="Rótulo de encabezado de mensaje"/>
    <w:rsid w:val="000F41FF"/>
    <w:rPr>
      <w:rFonts w:ascii="Arial Black" w:hAnsi="Arial Black"/>
      <w:spacing w:val="-10"/>
      <w:sz w:val="18"/>
    </w:rPr>
  </w:style>
  <w:style w:type="paragraph" w:styleId="Encabezadodemensaje">
    <w:name w:val="Message Header"/>
    <w:basedOn w:val="Textoindependiente"/>
    <w:link w:val="EncabezadodemensajeCar"/>
    <w:rsid w:val="000F41FF"/>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0F41FF"/>
    <w:rPr>
      <w:rFonts w:ascii="Arial" w:eastAsia="Batang" w:hAnsi="Arial" w:cs="Times New Roman"/>
      <w:spacing w:val="-5"/>
      <w:sz w:val="20"/>
      <w:szCs w:val="20"/>
      <w:lang w:val="es-ES"/>
    </w:rPr>
  </w:style>
  <w:style w:type="paragraph" w:styleId="Revisin">
    <w:name w:val="Revision"/>
    <w:hidden/>
    <w:uiPriority w:val="99"/>
    <w:semiHidden/>
    <w:rsid w:val="000F41FF"/>
    <w:pPr>
      <w:spacing w:after="0" w:line="240" w:lineRule="auto"/>
    </w:pPr>
  </w:style>
  <w:style w:type="table" w:styleId="Cuadrculavistosa-nfasis1">
    <w:name w:val="Colorful Grid Accent 1"/>
    <w:basedOn w:val="Tablanormal"/>
    <w:uiPriority w:val="73"/>
    <w:rsid w:val="000F41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xmsonormal">
    <w:name w:val="x_msonormal"/>
    <w:basedOn w:val="Normal"/>
    <w:rsid w:val="000F41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1">
    <w:name w:val="Texto nota pie Car1"/>
    <w:aliases w:val="ft Car1,Texto nota pie2 Car,ft1 Car,ft Car Car Car1 Car,Texto nota pie Car2 Car,ft Car Car2 Car,ft Car Car1,Texto nota pie Car Car,ft Car Car Car2,ft Car Car Car Car"/>
    <w:basedOn w:val="Fuentedeprrafopredeter"/>
    <w:rsid w:val="000F41FF"/>
    <w:rPr>
      <w:rFonts w:ascii="Calibri" w:eastAsia="Calibri" w:hAnsi="Calibri" w:cs="Calibri"/>
      <w:sz w:val="20"/>
      <w:szCs w:val="20"/>
      <w:lang w:val="es-ES" w:eastAsia="es-ES" w:bidi="es-ES"/>
    </w:rPr>
  </w:style>
  <w:style w:type="table" w:customStyle="1" w:styleId="Tabladecuadrcula1clara-nfasis11">
    <w:name w:val="Tabla de cuadrícula 1 clara - Énfasis 11"/>
    <w:basedOn w:val="Tablanormal"/>
    <w:uiPriority w:val="46"/>
    <w:rsid w:val="000F41F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1">
    <w:name w:val="Normal1"/>
    <w:link w:val="Normal1Car1"/>
    <w:qFormat/>
    <w:rsid w:val="000F41FF"/>
    <w:pPr>
      <w:spacing w:after="0" w:line="240" w:lineRule="auto"/>
    </w:pPr>
    <w:rPr>
      <w:rFonts w:ascii="Cambria" w:eastAsia="Cambria" w:hAnsi="Cambria" w:cs="Cambria"/>
      <w:sz w:val="24"/>
      <w:szCs w:val="24"/>
      <w:lang w:val="es-ES_tradnl"/>
    </w:rPr>
  </w:style>
  <w:style w:type="character" w:customStyle="1" w:styleId="Normal1Car">
    <w:name w:val="Normal1 Car"/>
    <w:basedOn w:val="Fuentedeprrafopredeter"/>
    <w:link w:val="Normal10"/>
    <w:rsid w:val="000F41FF"/>
    <w:rPr>
      <w:rFonts w:ascii="Arial" w:eastAsia="Arial" w:hAnsi="Arial" w:cs="Arial"/>
      <w:color w:val="000000"/>
      <w:kern w:val="1"/>
      <w:lang w:eastAsia="zh-CN" w:bidi="hi-IN"/>
    </w:rPr>
  </w:style>
  <w:style w:type="character" w:customStyle="1" w:styleId="Normal1Car1">
    <w:name w:val="Normal1 Car1"/>
    <w:basedOn w:val="Fuentedeprrafopredeter"/>
    <w:link w:val="Normal1"/>
    <w:rsid w:val="000F41FF"/>
    <w:rPr>
      <w:rFonts w:ascii="Cambria" w:eastAsia="Cambria" w:hAnsi="Cambria" w:cs="Cambria"/>
      <w:sz w:val="24"/>
      <w:szCs w:val="24"/>
      <w:lang w:val="es-ES_tradnl"/>
    </w:rPr>
  </w:style>
  <w:style w:type="paragraph" w:customStyle="1" w:styleId="TableParagraph">
    <w:name w:val="Table Paragraph"/>
    <w:basedOn w:val="Normal"/>
    <w:uiPriority w:val="1"/>
    <w:qFormat/>
    <w:rsid w:val="000F41FF"/>
    <w:pPr>
      <w:widowControl w:val="0"/>
      <w:autoSpaceDE w:val="0"/>
      <w:autoSpaceDN w:val="0"/>
      <w:spacing w:after="0" w:line="240" w:lineRule="auto"/>
    </w:pPr>
    <w:rPr>
      <w:rFonts w:ascii="Calibri" w:eastAsia="Calibri" w:hAnsi="Calibri" w:cs="Calibri"/>
      <w:lang w:val="es-ES" w:eastAsia="es-ES" w:bidi="es-ES"/>
    </w:rPr>
  </w:style>
  <w:style w:type="paragraph" w:customStyle="1" w:styleId="Ttitulo4">
    <w:name w:val="Ttitulo 4"/>
    <w:basedOn w:val="Normal1"/>
    <w:link w:val="Ttitulo4Car"/>
    <w:qFormat/>
    <w:rsid w:val="000F41FF"/>
    <w:pPr>
      <w:widowControl w:val="0"/>
    </w:pPr>
    <w:rPr>
      <w:rFonts w:ascii="Arial" w:hAnsi="Arial"/>
      <w:color w:val="0070C0"/>
      <w:kern w:val="1"/>
      <w:lang w:eastAsia="zh-CN" w:bidi="hi-IN"/>
    </w:rPr>
  </w:style>
  <w:style w:type="character" w:customStyle="1" w:styleId="Ttitulo4Car">
    <w:name w:val="Ttitulo 4 Car"/>
    <w:basedOn w:val="Normal1Car"/>
    <w:link w:val="Ttitulo4"/>
    <w:rsid w:val="000F41FF"/>
    <w:rPr>
      <w:rFonts w:ascii="Arial" w:eastAsia="Cambria" w:hAnsi="Arial" w:cs="Cambria"/>
      <w:color w:val="0070C0"/>
      <w:kern w:val="1"/>
      <w:sz w:val="24"/>
      <w:szCs w:val="24"/>
      <w:lang w:val="es-ES_tradnl" w:eastAsia="zh-CN" w:bidi="hi-IN"/>
    </w:rPr>
  </w:style>
  <w:style w:type="paragraph" w:styleId="Subttulo">
    <w:name w:val="Subtitle"/>
    <w:basedOn w:val="Normal1"/>
    <w:next w:val="Normal1"/>
    <w:link w:val="SubttuloCar"/>
    <w:rsid w:val="000F41FF"/>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F41FF"/>
    <w:rPr>
      <w:rFonts w:ascii="Georgia" w:eastAsia="Georgia" w:hAnsi="Georgia" w:cs="Georgia"/>
      <w:i/>
      <w:color w:val="666666"/>
      <w:sz w:val="48"/>
      <w:szCs w:val="48"/>
      <w:lang w:val="es-ES_tradnl"/>
    </w:rPr>
  </w:style>
  <w:style w:type="table" w:customStyle="1" w:styleId="TableNormal1">
    <w:name w:val="Table Normal1"/>
    <w:uiPriority w:val="2"/>
    <w:semiHidden/>
    <w:unhideWhenUsed/>
    <w:qFormat/>
    <w:rsid w:val="000F41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ncabezadodemensaje-primera">
    <w:name w:val="Encabezado de mensaje - primera"/>
    <w:basedOn w:val="Encabezadodemensaje"/>
    <w:next w:val="Encabezadodemensaje"/>
    <w:rsid w:val="000F41FF"/>
    <w:pPr>
      <w:spacing w:before="220"/>
    </w:pPr>
  </w:style>
  <w:style w:type="paragraph" w:customStyle="1" w:styleId="Encabezadodemensaje-ltima">
    <w:name w:val="Encabezado de mensaje - última"/>
    <w:basedOn w:val="Encabezadodemensaje"/>
    <w:next w:val="Textoindependiente"/>
    <w:rsid w:val="000F41FF"/>
    <w:pPr>
      <w:pBdr>
        <w:bottom w:val="single" w:sz="6" w:space="15" w:color="auto"/>
      </w:pBdr>
      <w:spacing w:after="320"/>
    </w:pPr>
  </w:style>
  <w:style w:type="paragraph" w:customStyle="1" w:styleId="Ttulodeldocumento">
    <w:name w:val="Título del documento"/>
    <w:basedOn w:val="Normal"/>
    <w:next w:val="Normal"/>
    <w:rsid w:val="000F41FF"/>
    <w:pPr>
      <w:keepNext/>
      <w:keepLines/>
      <w:spacing w:before="400" w:after="120" w:line="240" w:lineRule="atLeast"/>
      <w:ind w:right="835"/>
    </w:pPr>
    <w:rPr>
      <w:rFonts w:ascii="Arial Black" w:eastAsia="Batang" w:hAnsi="Arial Black" w:cs="Times New Roman"/>
      <w:spacing w:val="-5"/>
      <w:kern w:val="28"/>
      <w:sz w:val="96"/>
      <w:szCs w:val="20"/>
      <w:lang w:val="es-ES"/>
    </w:rPr>
  </w:style>
  <w:style w:type="paragraph" w:styleId="Textoindependiente3">
    <w:name w:val="Body Text 3"/>
    <w:basedOn w:val="Normal"/>
    <w:link w:val="Textoindependiente3Car"/>
    <w:rsid w:val="000F41FF"/>
    <w:pPr>
      <w:spacing w:after="120" w:line="240" w:lineRule="auto"/>
      <w:ind w:left="835" w:right="835"/>
    </w:pPr>
    <w:rPr>
      <w:rFonts w:ascii="Arial" w:eastAsia="Batang" w:hAnsi="Arial" w:cs="Times New Roman"/>
      <w:spacing w:val="-5"/>
      <w:sz w:val="16"/>
      <w:szCs w:val="16"/>
      <w:lang w:val="es-ES"/>
    </w:rPr>
  </w:style>
  <w:style w:type="character" w:customStyle="1" w:styleId="Textoindependiente3Car">
    <w:name w:val="Texto independiente 3 Car"/>
    <w:basedOn w:val="Fuentedeprrafopredeter"/>
    <w:link w:val="Textoindependiente3"/>
    <w:rsid w:val="000F41FF"/>
    <w:rPr>
      <w:rFonts w:ascii="Arial" w:eastAsia="Batang" w:hAnsi="Arial" w:cs="Times New Roman"/>
      <w:spacing w:val="-5"/>
      <w:sz w:val="16"/>
      <w:szCs w:val="16"/>
      <w:lang w:val="es-ES"/>
    </w:rPr>
  </w:style>
  <w:style w:type="paragraph" w:styleId="Sangradetextonormal">
    <w:name w:val="Body Text Indent"/>
    <w:basedOn w:val="Normal"/>
    <w:link w:val="SangradetextonormalCar"/>
    <w:rsid w:val="000F41FF"/>
    <w:pPr>
      <w:spacing w:after="120" w:line="240" w:lineRule="auto"/>
      <w:ind w:left="283" w:right="835"/>
    </w:pPr>
    <w:rPr>
      <w:rFonts w:ascii="Arial" w:eastAsia="Batang" w:hAnsi="Arial" w:cs="Times New Roman"/>
      <w:spacing w:val="-5"/>
      <w:sz w:val="20"/>
      <w:szCs w:val="20"/>
      <w:lang w:val="es-ES"/>
    </w:rPr>
  </w:style>
  <w:style w:type="character" w:customStyle="1" w:styleId="SangradetextonormalCar">
    <w:name w:val="Sangría de texto normal Car"/>
    <w:basedOn w:val="Fuentedeprrafopredeter"/>
    <w:link w:val="Sangradetextonormal"/>
    <w:rsid w:val="000F41FF"/>
    <w:rPr>
      <w:rFonts w:ascii="Arial" w:eastAsia="Batang" w:hAnsi="Arial" w:cs="Times New Roman"/>
      <w:spacing w:val="-5"/>
      <w:sz w:val="20"/>
      <w:szCs w:val="20"/>
      <w:lang w:val="es-ES"/>
    </w:rPr>
  </w:style>
  <w:style w:type="paragraph" w:customStyle="1" w:styleId="Titulo1-IDECA">
    <w:name w:val="Titulo 1 - IDECA"/>
    <w:basedOn w:val="Normal"/>
    <w:next w:val="Normal"/>
    <w:autoRedefine/>
    <w:qFormat/>
    <w:rsid w:val="000F41FF"/>
    <w:pPr>
      <w:keepNext/>
      <w:pageBreakBefore/>
      <w:widowControl w:val="0"/>
      <w:numPr>
        <w:numId w:val="10"/>
      </w:numPr>
      <w:spacing w:before="100" w:beforeAutospacing="1" w:after="100" w:afterAutospacing="1" w:line="240" w:lineRule="auto"/>
      <w:outlineLvl w:val="1"/>
    </w:pPr>
    <w:rPr>
      <w:rFonts w:ascii="MicrogrammaDMedExt" w:eastAsia="Batang" w:hAnsi="MicrogrammaDMedExt" w:cs="Arial"/>
      <w:b/>
      <w:bCs/>
      <w:smallCaps/>
      <w:color w:val="17365D"/>
      <w:sz w:val="52"/>
      <w:szCs w:val="20"/>
      <w:lang w:val="es-ES" w:eastAsia="es-ES"/>
    </w:rPr>
  </w:style>
  <w:style w:type="paragraph" w:customStyle="1" w:styleId="NormalIDECA">
    <w:name w:val="Normal IDECA"/>
    <w:basedOn w:val="Normal"/>
    <w:qFormat/>
    <w:rsid w:val="000F41FF"/>
    <w:pPr>
      <w:spacing w:after="0" w:line="240" w:lineRule="auto"/>
      <w:jc w:val="both"/>
    </w:pPr>
    <w:rPr>
      <w:rFonts w:ascii="Calibri" w:eastAsia="Batang" w:hAnsi="Calibri" w:cs="Verdana"/>
      <w:sz w:val="24"/>
      <w:lang w:val="es-ES" w:eastAsia="es-ES"/>
    </w:rPr>
  </w:style>
  <w:style w:type="character" w:customStyle="1" w:styleId="ilfuvd">
    <w:name w:val="ilfuvd"/>
    <w:basedOn w:val="Fuentedeprrafopredeter"/>
    <w:rsid w:val="000F41FF"/>
  </w:style>
  <w:style w:type="paragraph" w:customStyle="1" w:styleId="paragraph">
    <w:name w:val="paragraph"/>
    <w:basedOn w:val="Normal"/>
    <w:rsid w:val="000F41FF"/>
    <w:pPr>
      <w:spacing w:before="100" w:beforeAutospacing="1" w:after="100" w:afterAutospacing="1" w:line="240" w:lineRule="auto"/>
    </w:pPr>
    <w:rPr>
      <w:rFonts w:ascii="Times New Roman" w:hAnsi="Times New Roman" w:cs="Times New Roman"/>
      <w:sz w:val="20"/>
      <w:szCs w:val="20"/>
      <w:lang w:val="es-US"/>
    </w:rPr>
  </w:style>
  <w:style w:type="character" w:customStyle="1" w:styleId="normaltextrun">
    <w:name w:val="normaltextrun"/>
    <w:basedOn w:val="Fuentedeprrafopredeter"/>
    <w:rsid w:val="000F41FF"/>
  </w:style>
  <w:style w:type="character" w:customStyle="1" w:styleId="eop">
    <w:name w:val="eop"/>
    <w:basedOn w:val="Fuentedeprrafopredeter"/>
    <w:rsid w:val="000F41FF"/>
  </w:style>
  <w:style w:type="paragraph" w:customStyle="1" w:styleId="CarCar1Car">
    <w:name w:val="Car Car1 Car"/>
    <w:basedOn w:val="Normal"/>
    <w:semiHidden/>
    <w:rsid w:val="000F41FF"/>
    <w:pPr>
      <w:spacing w:after="160" w:line="240" w:lineRule="exact"/>
    </w:pPr>
    <w:rPr>
      <w:rFonts w:ascii="Tahoma" w:eastAsia="Times New Roman" w:hAnsi="Tahoma" w:cs="Times New Roman"/>
      <w:sz w:val="20"/>
      <w:szCs w:val="20"/>
      <w:lang w:val="en-US"/>
    </w:rPr>
  </w:style>
  <w:style w:type="table" w:styleId="Sombreadoclaro">
    <w:name w:val="Light Shading"/>
    <w:basedOn w:val="Tablanormal"/>
    <w:uiPriority w:val="60"/>
    <w:rsid w:val="000F41FF"/>
    <w:pPr>
      <w:spacing w:after="0" w:line="240" w:lineRule="auto"/>
    </w:pPr>
    <w:rPr>
      <w:rFonts w:ascii="Times New Roman" w:eastAsia="Batang" w:hAnsi="Times New Roman"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1">
    <w:name w:val="Mención sin resolver1"/>
    <w:uiPriority w:val="99"/>
    <w:semiHidden/>
    <w:unhideWhenUsed/>
    <w:rsid w:val="000F41FF"/>
    <w:rPr>
      <w:color w:val="808080"/>
      <w:shd w:val="clear" w:color="auto" w:fill="E6E6E6"/>
    </w:rPr>
  </w:style>
  <w:style w:type="table" w:customStyle="1" w:styleId="TablaIDEC">
    <w:name w:val="Tabla IDEC@"/>
    <w:basedOn w:val="NormalTable0"/>
    <w:rsid w:val="000F41FF"/>
    <w:pPr>
      <w:jc w:val="center"/>
    </w:pPr>
    <w:rPr>
      <w:rFonts w:ascii="Calibri" w:eastAsia="Batang" w:hAnsi="Calibri" w:cs="Verdana"/>
      <w:color w:val="000000"/>
      <w:sz w:val="20"/>
      <w:szCs w:val="20"/>
    </w:rPr>
    <w:tblPr>
      <w:jc w:val="center"/>
      <w:tblBorders>
        <w:top w:val="single" w:sz="2" w:space="0" w:color="E36C0A"/>
        <w:left w:val="single" w:sz="2" w:space="0" w:color="E36C0A"/>
        <w:bottom w:val="single" w:sz="2" w:space="0" w:color="E36C0A"/>
        <w:right w:val="single" w:sz="2" w:space="0" w:color="E36C0A"/>
        <w:insideH w:val="single" w:sz="2" w:space="0" w:color="E36C0A"/>
        <w:insideV w:val="single" w:sz="2" w:space="0" w:color="E36C0A"/>
      </w:tblBorders>
    </w:tblPr>
    <w:trPr>
      <w:jc w:val="center"/>
    </w:trPr>
    <w:tcPr>
      <w:shd w:val="clear" w:color="auto" w:fill="auto"/>
      <w:vAlign w:val="center"/>
    </w:tcPr>
    <w:tblStylePr w:type="firstRow">
      <w:pPr>
        <w:jc w:val="center"/>
      </w:pPr>
      <w:rPr>
        <w:rFonts w:ascii="Calibri" w:hAnsi="Calibri" w:cs="Verdana"/>
        <w:b/>
        <w:bCs/>
        <w:color w:val="FFFFFF"/>
        <w:sz w:val="20"/>
      </w:rPr>
      <w:tblPr/>
      <w:tcPr>
        <w:tcBorders>
          <w:insideH w:val="nil"/>
          <w:insideV w:val="nil"/>
        </w:tcBorders>
        <w:shd w:val="clear" w:color="auto" w:fill="E36C0A"/>
      </w:tcPr>
    </w:tblStylePr>
    <w:tblStylePr w:type="lastRow">
      <w:rPr>
        <w:rFonts w:cs="Verdana"/>
        <w:b/>
        <w:bCs/>
        <w:color w:val="auto"/>
      </w:rPr>
      <w:tblPr/>
      <w:tcPr>
        <w:tcBorders>
          <w:tl2br w:val="none" w:sz="0" w:space="0" w:color="auto"/>
          <w:tr2bl w:val="none" w:sz="0" w:space="0" w:color="auto"/>
        </w:tcBorders>
      </w:tcPr>
    </w:tblStylePr>
    <w:tblStylePr w:type="lastCol">
      <w:rPr>
        <w:rFonts w:cs="Verdana"/>
        <w:b/>
        <w:bCs/>
        <w:color w:val="auto"/>
      </w:rPr>
      <w:tblPr/>
      <w:tcPr>
        <w:tcBorders>
          <w:tl2br w:val="none" w:sz="0" w:space="0" w:color="auto"/>
          <w:tr2bl w:val="none" w:sz="0" w:space="0" w:color="auto"/>
        </w:tcBorders>
      </w:tcPr>
    </w:tblStylePr>
  </w:style>
  <w:style w:type="paragraph" w:customStyle="1" w:styleId="m-5617043995504037604gmail-m-8059170053408941524gmail-msonormal">
    <w:name w:val="m_-5617043995504037604gmail-m_-8059170053408941524gmail-msonormal"/>
    <w:basedOn w:val="Normal"/>
    <w:rsid w:val="000F41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
    <w:name w:val="il"/>
    <w:basedOn w:val="Fuentedeprrafopredeter"/>
    <w:rsid w:val="000F41FF"/>
  </w:style>
  <w:style w:type="table" w:customStyle="1" w:styleId="Tablaconcuadrcula5oscura-nfasis31">
    <w:name w:val="Tabla con cuadrícula 5 oscura - Énfasis 31"/>
    <w:basedOn w:val="Tablanormal"/>
    <w:uiPriority w:val="50"/>
    <w:rsid w:val="000F41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Sinlista1">
    <w:name w:val="Sin lista1"/>
    <w:next w:val="Sinlista"/>
    <w:uiPriority w:val="99"/>
    <w:semiHidden/>
    <w:unhideWhenUsed/>
    <w:rsid w:val="000F41FF"/>
  </w:style>
  <w:style w:type="paragraph" w:customStyle="1" w:styleId="Sinespaciado1">
    <w:name w:val="Sin espaciado1"/>
    <w:next w:val="Sinespaciado"/>
    <w:uiPriority w:val="1"/>
    <w:qFormat/>
    <w:rsid w:val="000F41FF"/>
    <w:pPr>
      <w:spacing w:after="0" w:line="240" w:lineRule="auto"/>
    </w:pPr>
  </w:style>
  <w:style w:type="paragraph" w:customStyle="1" w:styleId="Descripcin1">
    <w:name w:val="Descripción1"/>
    <w:basedOn w:val="Normal"/>
    <w:next w:val="Normal"/>
    <w:uiPriority w:val="35"/>
    <w:unhideWhenUsed/>
    <w:qFormat/>
    <w:rsid w:val="000F41FF"/>
    <w:pPr>
      <w:spacing w:line="240" w:lineRule="auto"/>
      <w:ind w:left="835" w:right="835"/>
    </w:pPr>
    <w:rPr>
      <w:rFonts w:ascii="Arial" w:eastAsia="Batang" w:hAnsi="Arial" w:cs="Times New Roman"/>
      <w:i/>
      <w:iCs/>
      <w:color w:val="1F497D"/>
      <w:spacing w:val="-5"/>
      <w:sz w:val="18"/>
      <w:szCs w:val="18"/>
      <w:lang w:val="es-ES"/>
    </w:rPr>
  </w:style>
  <w:style w:type="table" w:customStyle="1" w:styleId="Tablaconcuadrcula11">
    <w:name w:val="Tabla con cuadrícula11"/>
    <w:basedOn w:val="Tablanormal"/>
    <w:next w:val="Tablaconcuadrcula"/>
    <w:uiPriority w:val="39"/>
    <w:rsid w:val="000F41F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ulo2">
    <w:name w:val="Ttitulo 2"/>
    <w:basedOn w:val="Normal1"/>
    <w:link w:val="Ttitulo2Car"/>
    <w:autoRedefine/>
    <w:qFormat/>
    <w:rsid w:val="000F41FF"/>
    <w:pPr>
      <w:widowControl w:val="0"/>
      <w:ind w:left="709" w:hanging="709"/>
    </w:pPr>
    <w:rPr>
      <w:rFonts w:asciiTheme="majorHAnsi" w:hAnsiTheme="majorHAnsi"/>
      <w:b/>
    </w:rPr>
  </w:style>
  <w:style w:type="paragraph" w:customStyle="1" w:styleId="Ttitulo3">
    <w:name w:val="Ttitulo 3"/>
    <w:basedOn w:val="Ttitulo2"/>
    <w:link w:val="Ttitulo3Car"/>
    <w:autoRedefine/>
    <w:qFormat/>
    <w:rsid w:val="000F41FF"/>
    <w:pPr>
      <w:ind w:left="0" w:firstLine="0"/>
    </w:pPr>
    <w:rPr>
      <w:rFonts w:cs="Calibri"/>
      <w:i/>
    </w:rPr>
  </w:style>
  <w:style w:type="character" w:customStyle="1" w:styleId="Ttitulo2Car">
    <w:name w:val="Ttitulo 2 Car"/>
    <w:basedOn w:val="Normal1Car1"/>
    <w:link w:val="Ttitulo2"/>
    <w:rsid w:val="000F41FF"/>
    <w:rPr>
      <w:rFonts w:asciiTheme="majorHAnsi" w:eastAsia="Cambria" w:hAnsiTheme="majorHAnsi" w:cs="Cambria"/>
      <w:b/>
      <w:sz w:val="24"/>
      <w:szCs w:val="24"/>
      <w:lang w:val="es-ES_tradnl"/>
    </w:rPr>
  </w:style>
  <w:style w:type="character" w:customStyle="1" w:styleId="Ttitulo3Car">
    <w:name w:val="Ttitulo 3 Car"/>
    <w:basedOn w:val="Normal1Car1"/>
    <w:link w:val="Ttitulo3"/>
    <w:rsid w:val="000F41FF"/>
    <w:rPr>
      <w:rFonts w:asciiTheme="majorHAnsi" w:eastAsia="Cambria" w:hAnsiTheme="majorHAnsi" w:cs="Calibri"/>
      <w:b/>
      <w:i/>
      <w:sz w:val="24"/>
      <w:szCs w:val="24"/>
      <w:lang w:val="es-ES_tradnl"/>
    </w:rPr>
  </w:style>
  <w:style w:type="table" w:customStyle="1" w:styleId="Tablaconcuadrcula2">
    <w:name w:val="Tabla con cuadrícula2"/>
    <w:basedOn w:val="Tablanormal"/>
    <w:next w:val="Tablaconcuadrcula"/>
    <w:uiPriority w:val="39"/>
    <w:rsid w:val="000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11">
    <w:name w:val="Tabla de lista 1 clara - Énfasis 11"/>
    <w:basedOn w:val="Tablanormal"/>
    <w:next w:val="Tabladelista1clara-nfasis12"/>
    <w:uiPriority w:val="46"/>
    <w:rsid w:val="000F41FF"/>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2">
    <w:name w:val="Tabla de lista 1 clara - Énfasis 12"/>
    <w:basedOn w:val="Tablanormal"/>
    <w:uiPriority w:val="46"/>
    <w:rsid w:val="000F41FF"/>
    <w:pPr>
      <w:spacing w:after="0" w:line="240" w:lineRule="auto"/>
    </w:pPr>
    <w:rPr>
      <w:rFonts w:ascii="Cambria" w:eastAsia="Cambria" w:hAnsi="Cambria" w:cs="Cambria"/>
      <w:sz w:val="24"/>
      <w:szCs w:val="24"/>
      <w:lang w:val="es-ES_tradn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4">
    <w:name w:val="toc 4"/>
    <w:basedOn w:val="Normal"/>
    <w:next w:val="Normal"/>
    <w:autoRedefine/>
    <w:uiPriority w:val="39"/>
    <w:unhideWhenUsed/>
    <w:rsid w:val="000F41FF"/>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0F41FF"/>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0F41FF"/>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0F41FF"/>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0F41FF"/>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0F41FF"/>
    <w:pPr>
      <w:spacing w:after="100" w:line="259" w:lineRule="auto"/>
      <w:ind w:left="1760"/>
    </w:pPr>
    <w:rPr>
      <w:rFonts w:eastAsiaTheme="minorEastAsia"/>
      <w:lang w:eastAsia="es-CO"/>
    </w:rPr>
  </w:style>
  <w:style w:type="table" w:customStyle="1" w:styleId="TableNormal2">
    <w:name w:val="Table Normal2"/>
    <w:uiPriority w:val="2"/>
    <w:semiHidden/>
    <w:unhideWhenUsed/>
    <w:qFormat/>
    <w:rsid w:val="000F41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lista1clara-nfasis120">
    <w:name w:val="Tabla de lista 1 clara - Énfasis 120"/>
    <w:basedOn w:val="Tablanormal"/>
    <w:uiPriority w:val="46"/>
    <w:rsid w:val="000F41FF"/>
    <w:pPr>
      <w:spacing w:after="0" w:line="240" w:lineRule="auto"/>
    </w:pPr>
    <w:rPr>
      <w:rFonts w:ascii="Cambria" w:eastAsia="Cambria" w:hAnsi="Cambria" w:cs="Cambria"/>
      <w:sz w:val="24"/>
      <w:szCs w:val="24"/>
      <w:lang w:val="es-ES_tradn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IESNOTAS">
    <w:name w:val="PIES NOTAS"/>
    <w:basedOn w:val="Normal"/>
    <w:link w:val="PIESNOTASCar"/>
    <w:qFormat/>
    <w:rsid w:val="000F41FF"/>
    <w:pPr>
      <w:keepNext/>
      <w:keepLines/>
      <w:spacing w:after="21" w:line="240" w:lineRule="auto"/>
      <w:jc w:val="center"/>
      <w:outlineLvl w:val="0"/>
    </w:pPr>
    <w:rPr>
      <w:rFonts w:ascii="Cambria" w:eastAsia="Cambria" w:hAnsi="Cambria" w:cs="Times New Roman"/>
      <w:i/>
      <w:sz w:val="18"/>
      <w:lang w:val="es-ES_tradnl"/>
    </w:rPr>
  </w:style>
  <w:style w:type="paragraph" w:customStyle="1" w:styleId="graficas">
    <w:name w:val="graficas"/>
    <w:basedOn w:val="Normal"/>
    <w:link w:val="graficasCar"/>
    <w:autoRedefine/>
    <w:qFormat/>
    <w:rsid w:val="000F41FF"/>
    <w:pPr>
      <w:widowControl w:val="0"/>
      <w:autoSpaceDE w:val="0"/>
      <w:autoSpaceDN w:val="0"/>
      <w:spacing w:after="0" w:line="240" w:lineRule="auto"/>
      <w:ind w:left="-388"/>
      <w:jc w:val="center"/>
    </w:pPr>
    <w:rPr>
      <w:rFonts w:asciiTheme="majorHAnsi" w:eastAsia="Calibri" w:hAnsiTheme="majorHAnsi" w:cstheme="majorHAnsi"/>
      <w:bCs/>
      <w:color w:val="000000" w:themeColor="text1"/>
      <w:sz w:val="20"/>
      <w:szCs w:val="18"/>
      <w:lang w:eastAsia="es-ES" w:bidi="es-ES"/>
    </w:rPr>
  </w:style>
  <w:style w:type="character" w:customStyle="1" w:styleId="PIESNOTASCar">
    <w:name w:val="PIES NOTAS Car"/>
    <w:basedOn w:val="Fuentedeprrafopredeter"/>
    <w:link w:val="PIESNOTAS"/>
    <w:rsid w:val="000F41FF"/>
    <w:rPr>
      <w:rFonts w:ascii="Cambria" w:eastAsia="Cambria" w:hAnsi="Cambria" w:cs="Times New Roman"/>
      <w:i/>
      <w:sz w:val="18"/>
      <w:lang w:val="es-ES_tradnl"/>
    </w:rPr>
  </w:style>
  <w:style w:type="table" w:customStyle="1" w:styleId="Tabladecuadrcula4-nfasis11">
    <w:name w:val="Tabla de cuadrícula 4 - Énfasis 11"/>
    <w:basedOn w:val="Tablanormal"/>
    <w:uiPriority w:val="49"/>
    <w:rsid w:val="000F41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raficasCar">
    <w:name w:val="graficas Car"/>
    <w:basedOn w:val="Fuentedeprrafopredeter"/>
    <w:link w:val="graficas"/>
    <w:rsid w:val="000F41FF"/>
    <w:rPr>
      <w:rFonts w:asciiTheme="majorHAnsi" w:eastAsia="Calibri" w:hAnsiTheme="majorHAnsi" w:cstheme="majorHAnsi"/>
      <w:bCs/>
      <w:color w:val="000000" w:themeColor="text1"/>
      <w:sz w:val="20"/>
      <w:szCs w:val="18"/>
      <w:lang w:eastAsia="es-ES" w:bidi="es-ES"/>
    </w:rPr>
  </w:style>
  <w:style w:type="table" w:styleId="Sombreadoclaro-nfasis1">
    <w:name w:val="Light Shading Accent 1"/>
    <w:basedOn w:val="Tablanormal"/>
    <w:uiPriority w:val="60"/>
    <w:rsid w:val="000F41FF"/>
    <w:pPr>
      <w:spacing w:after="0" w:line="240" w:lineRule="auto"/>
    </w:pPr>
    <w:rPr>
      <w:rFonts w:ascii="Cambria" w:eastAsia="Cambria" w:hAnsi="Cambria" w:cs="Cambria"/>
      <w:color w:val="365F91" w:themeColor="accent1" w:themeShade="BF"/>
      <w:sz w:val="24"/>
      <w:szCs w:val="24"/>
      <w:lang w:val="es-ES_trad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1">
    <w:name w:val="Medium List 1"/>
    <w:basedOn w:val="Tablanormal"/>
    <w:uiPriority w:val="65"/>
    <w:rsid w:val="000F41FF"/>
    <w:pPr>
      <w:spacing w:after="0" w:line="240" w:lineRule="auto"/>
    </w:pPr>
    <w:rPr>
      <w:rFonts w:ascii="Cambria" w:eastAsia="Cambria" w:hAnsi="Cambria" w:cs="Cambria"/>
      <w:color w:val="000000" w:themeColor="text1"/>
      <w:sz w:val="24"/>
      <w:szCs w:val="24"/>
      <w:lang w:val="es-ES_trad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Estilo1">
    <w:name w:val="Estilo1"/>
    <w:basedOn w:val="Tablanormal"/>
    <w:uiPriority w:val="99"/>
    <w:rsid w:val="000F41FF"/>
    <w:pPr>
      <w:spacing w:after="0" w:line="240" w:lineRule="auto"/>
    </w:pPr>
    <w:rPr>
      <w:rFonts w:asciiTheme="majorHAnsi" w:eastAsia="Cambria" w:hAnsiTheme="majorHAnsi" w:cs="Cambria"/>
      <w:sz w:val="20"/>
      <w:szCs w:val="24"/>
      <w:lang w:val="es-ES_tradnl"/>
    </w:rPr>
    <w:tblPr/>
    <w:tcPr>
      <w:shd w:val="clear" w:color="auto" w:fill="FFFFFF" w:themeFill="background1"/>
    </w:tcPr>
  </w:style>
  <w:style w:type="table" w:styleId="Listamedia2-nfasis1">
    <w:name w:val="Medium List 2 Accent 1"/>
    <w:basedOn w:val="Tablanormal"/>
    <w:uiPriority w:val="66"/>
    <w:rsid w:val="000F41FF"/>
    <w:pPr>
      <w:spacing w:after="0" w:line="240" w:lineRule="auto"/>
    </w:pPr>
    <w:rPr>
      <w:rFonts w:asciiTheme="majorHAnsi" w:eastAsiaTheme="majorEastAsia" w:hAnsiTheme="majorHAnsi" w:cstheme="majorBidi"/>
      <w:color w:val="000000" w:themeColor="text1"/>
      <w:sz w:val="24"/>
      <w:szCs w:val="24"/>
      <w:lang w:val="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0F41FF"/>
    <w:pPr>
      <w:spacing w:after="0" w:line="240" w:lineRule="auto"/>
    </w:pPr>
    <w:rPr>
      <w:rFonts w:asciiTheme="majorHAnsi" w:eastAsiaTheme="majorEastAsia" w:hAnsiTheme="majorHAnsi" w:cstheme="majorBidi"/>
      <w:color w:val="000000" w:themeColor="text1"/>
      <w:sz w:val="24"/>
      <w:szCs w:val="24"/>
      <w:lang w:val="es-ES_trad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nfasis5">
    <w:name w:val="Dark List Accent 5"/>
    <w:basedOn w:val="Tablanormal"/>
    <w:uiPriority w:val="70"/>
    <w:rsid w:val="000F41FF"/>
    <w:pPr>
      <w:spacing w:after="0" w:line="240" w:lineRule="auto"/>
    </w:pPr>
    <w:rPr>
      <w:rFonts w:ascii="Cambria" w:eastAsia="Cambria" w:hAnsi="Cambria" w:cs="Cambria"/>
      <w:color w:val="FFFFFF" w:themeColor="background1"/>
      <w:sz w:val="24"/>
      <w:szCs w:val="24"/>
      <w:lang w:val="es-ES_tradnl"/>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claro-nfasis5">
    <w:name w:val="Light Shading Accent 5"/>
    <w:basedOn w:val="Tablanormal"/>
    <w:uiPriority w:val="60"/>
    <w:rsid w:val="000F41FF"/>
    <w:pPr>
      <w:spacing w:after="0" w:line="240" w:lineRule="auto"/>
    </w:pPr>
    <w:rPr>
      <w:rFonts w:ascii="Cambria" w:eastAsia="Cambria" w:hAnsi="Cambria" w:cs="Cambria"/>
      <w:color w:val="00B0F0"/>
      <w:sz w:val="24"/>
      <w:szCs w:val="24"/>
      <w:lang w:val="es-ES_tradn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m7970617322768221165xmsonormal">
    <w:name w:val="m_7970617322768221165x_msonormal"/>
    <w:basedOn w:val="Normal"/>
    <w:rsid w:val="000F41FF"/>
    <w:pPr>
      <w:spacing w:before="100" w:beforeAutospacing="1" w:after="100" w:afterAutospacing="1" w:line="240" w:lineRule="auto"/>
    </w:pPr>
    <w:rPr>
      <w:rFonts w:ascii="Times New Roman" w:eastAsia="Times New Roman" w:hAnsi="Times New Roman" w:cs="Times New Roman"/>
      <w:szCs w:val="24"/>
      <w:lang w:eastAsia="es-CO"/>
    </w:rPr>
  </w:style>
  <w:style w:type="table" w:customStyle="1" w:styleId="Tablaconcuadrcula2-nfasis61">
    <w:name w:val="Tabla con cuadrícula 2 - Énfasis 61"/>
    <w:basedOn w:val="Tablanormal"/>
    <w:uiPriority w:val="47"/>
    <w:rsid w:val="000F41F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ormal10">
    <w:name w:val="Normal10"/>
    <w:basedOn w:val="Normal"/>
    <w:link w:val="Normal1Car"/>
    <w:qFormat/>
    <w:rsid w:val="000F41FF"/>
    <w:pPr>
      <w:widowControl w:val="0"/>
      <w:suppressAutoHyphens/>
      <w:autoSpaceDE w:val="0"/>
      <w:spacing w:after="0" w:line="240" w:lineRule="auto"/>
    </w:pPr>
    <w:rPr>
      <w:rFonts w:ascii="Arial" w:eastAsia="Arial" w:hAnsi="Arial" w:cs="Arial"/>
      <w:color w:val="000000"/>
      <w:kern w:val="1"/>
      <w:lang w:eastAsia="zh-CN" w:bidi="hi-IN"/>
    </w:rPr>
  </w:style>
  <w:style w:type="character" w:customStyle="1" w:styleId="Mencinsinresolver10">
    <w:name w:val="Mención sin resolver10"/>
    <w:uiPriority w:val="99"/>
    <w:semiHidden/>
    <w:unhideWhenUsed/>
    <w:rsid w:val="000F41FF"/>
    <w:rPr>
      <w:color w:val="808080"/>
      <w:shd w:val="clear" w:color="auto" w:fill="E6E6E6"/>
    </w:rPr>
  </w:style>
  <w:style w:type="table" w:customStyle="1" w:styleId="NormalTable00">
    <w:name w:val="Normal Table00"/>
    <w:uiPriority w:val="2"/>
    <w:semiHidden/>
    <w:unhideWhenUsed/>
    <w:qFormat/>
    <w:rsid w:val="000F41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
    <w:name w:val="List"/>
    <w:basedOn w:val="Normal"/>
    <w:rsid w:val="000F41FF"/>
    <w:pPr>
      <w:spacing w:after="0" w:line="240" w:lineRule="auto"/>
      <w:ind w:left="283" w:hanging="283"/>
      <w:contextualSpacing/>
    </w:pPr>
    <w:rPr>
      <w:rFonts w:ascii="Times New Roman" w:eastAsia="Times New Roman" w:hAnsi="Times New Roman" w:cs="Times New Roman"/>
      <w:sz w:val="20"/>
      <w:szCs w:val="20"/>
      <w:lang w:val="es-ES" w:eastAsia="es-ES"/>
    </w:rPr>
  </w:style>
  <w:style w:type="table" w:customStyle="1" w:styleId="Tablaconcuadrcula5oscura1">
    <w:name w:val="Tabla con cuadrícula 5 oscura1"/>
    <w:basedOn w:val="Tablanormal"/>
    <w:uiPriority w:val="50"/>
    <w:rsid w:val="000F41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EstiloYE">
    <w:name w:val="EstiloYE"/>
    <w:basedOn w:val="Tablanormal"/>
    <w:uiPriority w:val="99"/>
    <w:rsid w:val="000F41FF"/>
    <w:pPr>
      <w:spacing w:after="0" w:line="240" w:lineRule="auto"/>
    </w:pPr>
    <w:tblPr/>
  </w:style>
  <w:style w:type="paragraph" w:customStyle="1" w:styleId="Entradadecaptulo">
    <w:name w:val="Entradadecapítulo"/>
    <w:qFormat/>
    <w:rsid w:val="000F41FF"/>
    <w:pPr>
      <w:shd w:val="clear" w:color="auto" w:fill="FFFFFF"/>
      <w:spacing w:after="0" w:line="312" w:lineRule="auto"/>
    </w:pPr>
    <w:rPr>
      <w:rFonts w:ascii="Gotham Rounded Medium" w:eastAsia="Times New Roman" w:hAnsi="Gotham Rounded Medium" w:cs="Open Sans"/>
      <w:noProof/>
      <w:color w:val="003A5B"/>
      <w:sz w:val="36"/>
      <w:szCs w:val="40"/>
      <w:lang w:eastAsia="es-ES_tradnl"/>
    </w:rPr>
  </w:style>
  <w:style w:type="paragraph" w:customStyle="1" w:styleId="Parrafo">
    <w:name w:val="Parrafo"/>
    <w:basedOn w:val="NormalWeb"/>
    <w:uiPriority w:val="99"/>
    <w:qFormat/>
    <w:rsid w:val="000F41FF"/>
    <w:pPr>
      <w:shd w:val="clear" w:color="auto" w:fill="FFFFFF"/>
      <w:spacing w:before="0" w:beforeAutospacing="0" w:after="225" w:afterAutospacing="0" w:line="312" w:lineRule="auto"/>
    </w:pPr>
    <w:rPr>
      <w:rFonts w:ascii="Gotham Rounded Book" w:eastAsia="Times New Roman" w:hAnsi="Gotham Rounded Book" w:cs="Open Sans"/>
      <w:color w:val="5D5D5D"/>
      <w:sz w:val="20"/>
      <w:szCs w:val="20"/>
      <w:lang w:val="en-US" w:eastAsia="es-ES_tradnl"/>
    </w:rPr>
  </w:style>
  <w:style w:type="paragraph" w:customStyle="1" w:styleId="Titulo11">
    <w:name w:val="Titulo1.1"/>
    <w:basedOn w:val="NormalWeb"/>
    <w:qFormat/>
    <w:rsid w:val="000F41FF"/>
    <w:pPr>
      <w:shd w:val="clear" w:color="auto" w:fill="FFFFFF"/>
      <w:spacing w:before="0" w:beforeAutospacing="0" w:after="225" w:afterAutospacing="0" w:line="312" w:lineRule="auto"/>
    </w:pPr>
    <w:rPr>
      <w:rFonts w:ascii="Gotham Rounded Medium" w:eastAsia="Times New Roman" w:hAnsi="Gotham Rounded Medium" w:cs="Open Sans"/>
      <w:color w:val="003A5B"/>
      <w:sz w:val="28"/>
      <w:szCs w:val="28"/>
      <w:lang w:val="en-US" w:eastAsia="es-ES_tradnl"/>
    </w:rPr>
  </w:style>
  <w:style w:type="character" w:customStyle="1" w:styleId="Mencinsinresolver2">
    <w:name w:val="Mención sin resolver2"/>
    <w:basedOn w:val="Fuentedeprrafopredeter"/>
    <w:uiPriority w:val="99"/>
    <w:semiHidden/>
    <w:unhideWhenUsed/>
    <w:rsid w:val="000F41FF"/>
    <w:rPr>
      <w:color w:val="605E5C"/>
      <w:shd w:val="clear" w:color="auto" w:fill="E1DFDD"/>
    </w:rPr>
  </w:style>
  <w:style w:type="table" w:customStyle="1" w:styleId="Tabladecuadrcula1clara-nfasis111">
    <w:name w:val="Tabla de cuadrícula 1 clara - Énfasis 111"/>
    <w:basedOn w:val="Tablanormal"/>
    <w:uiPriority w:val="46"/>
    <w:rsid w:val="000F41FF"/>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0F41FF"/>
    <w:rPr>
      <w:b/>
      <w:bCs/>
    </w:rPr>
  </w:style>
  <w:style w:type="paragraph" w:customStyle="1" w:styleId="h2">
    <w:name w:val="h2"/>
    <w:basedOn w:val="Normal"/>
    <w:rsid w:val="000F41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x">
    <w:name w:val="tx"/>
    <w:basedOn w:val="Normal"/>
    <w:rsid w:val="000F41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age-number">
    <w:name w:val="page-number"/>
    <w:basedOn w:val="Fuentedeprrafopredeter"/>
    <w:rsid w:val="000F41FF"/>
  </w:style>
  <w:style w:type="character" w:styleId="nfasis">
    <w:name w:val="Emphasis"/>
    <w:basedOn w:val="Fuentedeprrafopredeter"/>
    <w:uiPriority w:val="20"/>
    <w:qFormat/>
    <w:rsid w:val="000F41FF"/>
    <w:rPr>
      <w:i/>
      <w:iCs/>
    </w:rPr>
  </w:style>
  <w:style w:type="paragraph" w:styleId="z-Principiodelformulario">
    <w:name w:val="HTML Top of Form"/>
    <w:basedOn w:val="Normal"/>
    <w:next w:val="Normal"/>
    <w:link w:val="z-PrincipiodelformularioCar"/>
    <w:hidden/>
    <w:uiPriority w:val="99"/>
    <w:semiHidden/>
    <w:unhideWhenUsed/>
    <w:rsid w:val="000F41FF"/>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0F41FF"/>
    <w:rPr>
      <w:rFonts w:ascii="Arial" w:eastAsia="Times New Roman" w:hAnsi="Arial" w:cs="Arial"/>
      <w:vanish/>
      <w:sz w:val="16"/>
      <w:szCs w:val="16"/>
      <w:lang w:val="es-ES" w:eastAsia="es-ES"/>
    </w:rPr>
  </w:style>
  <w:style w:type="character" w:customStyle="1" w:styleId="icon-text">
    <w:name w:val="icon-text"/>
    <w:basedOn w:val="Fuentedeprrafopredeter"/>
    <w:rsid w:val="000F41FF"/>
  </w:style>
  <w:style w:type="paragraph" w:styleId="z-Finaldelformulario">
    <w:name w:val="HTML Bottom of Form"/>
    <w:basedOn w:val="Normal"/>
    <w:next w:val="Normal"/>
    <w:link w:val="z-FinaldelformularioCar"/>
    <w:hidden/>
    <w:uiPriority w:val="99"/>
    <w:semiHidden/>
    <w:unhideWhenUsed/>
    <w:rsid w:val="000F41FF"/>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0F41FF"/>
    <w:rPr>
      <w:rFonts w:ascii="Arial" w:eastAsia="Times New Roman" w:hAnsi="Arial" w:cs="Arial"/>
      <w:vanish/>
      <w:sz w:val="16"/>
      <w:szCs w:val="16"/>
      <w:lang w:val="es-ES" w:eastAsia="es-ES"/>
    </w:rPr>
  </w:style>
  <w:style w:type="paragraph" w:customStyle="1" w:styleId="tx1">
    <w:name w:val="tx1"/>
    <w:basedOn w:val="Normal"/>
    <w:rsid w:val="000F41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encinsinresolver3">
    <w:name w:val="Mención sin resolver3"/>
    <w:basedOn w:val="Fuentedeprrafopredeter"/>
    <w:uiPriority w:val="99"/>
    <w:semiHidden/>
    <w:unhideWhenUsed/>
    <w:rsid w:val="000F41FF"/>
    <w:rPr>
      <w:color w:val="605E5C"/>
      <w:shd w:val="clear" w:color="auto" w:fill="E1DFDD"/>
    </w:rPr>
  </w:style>
  <w:style w:type="table" w:customStyle="1" w:styleId="Tabladelista3-nfasis11">
    <w:name w:val="Tabla de lista 3 - Énfasis 11"/>
    <w:basedOn w:val="Tablanormal"/>
    <w:uiPriority w:val="48"/>
    <w:rsid w:val="000F41F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concuadrcula5oscura-nfasis11">
    <w:name w:val="Tabla con cuadrícula 5 oscura - Énfasis 11"/>
    <w:basedOn w:val="Tablanormal"/>
    <w:uiPriority w:val="50"/>
    <w:rsid w:val="000F41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encinsinresolver">
    <w:name w:val="Unresolved Mention"/>
    <w:basedOn w:val="Fuentedeprrafopredeter"/>
    <w:uiPriority w:val="99"/>
    <w:semiHidden/>
    <w:unhideWhenUsed/>
    <w:rsid w:val="000F41FF"/>
    <w:rPr>
      <w:color w:val="605E5C"/>
      <w:shd w:val="clear" w:color="auto" w:fill="E1DFDD"/>
    </w:rPr>
  </w:style>
  <w:style w:type="table" w:customStyle="1" w:styleId="Tabladecuadrcula1clara-nfasis112">
    <w:name w:val="Tabla de cuadrícula 1 clara - Énfasis 112"/>
    <w:basedOn w:val="Tablanormal"/>
    <w:uiPriority w:val="46"/>
    <w:rsid w:val="00AA6318"/>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1111">
    <w:name w:val="Tabla de cuadrícula 1 clara - Énfasis 1111"/>
    <w:basedOn w:val="Tablanormal"/>
    <w:uiPriority w:val="46"/>
    <w:rsid w:val="00AA6318"/>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5901">
      <w:bodyDiv w:val="1"/>
      <w:marLeft w:val="0"/>
      <w:marRight w:val="0"/>
      <w:marTop w:val="0"/>
      <w:marBottom w:val="0"/>
      <w:divBdr>
        <w:top w:val="none" w:sz="0" w:space="0" w:color="auto"/>
        <w:left w:val="none" w:sz="0" w:space="0" w:color="auto"/>
        <w:bottom w:val="none" w:sz="0" w:space="0" w:color="auto"/>
        <w:right w:val="none" w:sz="0" w:space="0" w:color="auto"/>
      </w:divBdr>
    </w:div>
    <w:div w:id="372775618">
      <w:bodyDiv w:val="1"/>
      <w:marLeft w:val="0"/>
      <w:marRight w:val="0"/>
      <w:marTop w:val="0"/>
      <w:marBottom w:val="0"/>
      <w:divBdr>
        <w:top w:val="none" w:sz="0" w:space="0" w:color="auto"/>
        <w:left w:val="none" w:sz="0" w:space="0" w:color="auto"/>
        <w:bottom w:val="none" w:sz="0" w:space="0" w:color="auto"/>
        <w:right w:val="none" w:sz="0" w:space="0" w:color="auto"/>
      </w:divBdr>
    </w:div>
    <w:div w:id="533035497">
      <w:bodyDiv w:val="1"/>
      <w:marLeft w:val="0"/>
      <w:marRight w:val="0"/>
      <w:marTop w:val="0"/>
      <w:marBottom w:val="0"/>
      <w:divBdr>
        <w:top w:val="none" w:sz="0" w:space="0" w:color="auto"/>
        <w:left w:val="none" w:sz="0" w:space="0" w:color="auto"/>
        <w:bottom w:val="none" w:sz="0" w:space="0" w:color="auto"/>
        <w:right w:val="none" w:sz="0" w:space="0" w:color="auto"/>
      </w:divBdr>
      <w:divsChild>
        <w:div w:id="1738433043">
          <w:marLeft w:val="446"/>
          <w:marRight w:val="0"/>
          <w:marTop w:val="0"/>
          <w:marBottom w:val="0"/>
          <w:divBdr>
            <w:top w:val="none" w:sz="0" w:space="0" w:color="auto"/>
            <w:left w:val="none" w:sz="0" w:space="0" w:color="auto"/>
            <w:bottom w:val="none" w:sz="0" w:space="0" w:color="auto"/>
            <w:right w:val="none" w:sz="0" w:space="0" w:color="auto"/>
          </w:divBdr>
        </w:div>
      </w:divsChild>
    </w:div>
    <w:div w:id="631374308">
      <w:bodyDiv w:val="1"/>
      <w:marLeft w:val="0"/>
      <w:marRight w:val="0"/>
      <w:marTop w:val="0"/>
      <w:marBottom w:val="0"/>
      <w:divBdr>
        <w:top w:val="none" w:sz="0" w:space="0" w:color="auto"/>
        <w:left w:val="none" w:sz="0" w:space="0" w:color="auto"/>
        <w:bottom w:val="none" w:sz="0" w:space="0" w:color="auto"/>
        <w:right w:val="none" w:sz="0" w:space="0" w:color="auto"/>
      </w:divBdr>
    </w:div>
    <w:div w:id="659890535">
      <w:bodyDiv w:val="1"/>
      <w:marLeft w:val="0"/>
      <w:marRight w:val="0"/>
      <w:marTop w:val="0"/>
      <w:marBottom w:val="0"/>
      <w:divBdr>
        <w:top w:val="none" w:sz="0" w:space="0" w:color="auto"/>
        <w:left w:val="none" w:sz="0" w:space="0" w:color="auto"/>
        <w:bottom w:val="none" w:sz="0" w:space="0" w:color="auto"/>
        <w:right w:val="none" w:sz="0" w:space="0" w:color="auto"/>
      </w:divBdr>
      <w:divsChild>
        <w:div w:id="164441213">
          <w:marLeft w:val="446"/>
          <w:marRight w:val="0"/>
          <w:marTop w:val="0"/>
          <w:marBottom w:val="0"/>
          <w:divBdr>
            <w:top w:val="none" w:sz="0" w:space="0" w:color="auto"/>
            <w:left w:val="none" w:sz="0" w:space="0" w:color="auto"/>
            <w:bottom w:val="none" w:sz="0" w:space="0" w:color="auto"/>
            <w:right w:val="none" w:sz="0" w:space="0" w:color="auto"/>
          </w:divBdr>
        </w:div>
        <w:div w:id="225067898">
          <w:marLeft w:val="446"/>
          <w:marRight w:val="0"/>
          <w:marTop w:val="0"/>
          <w:marBottom w:val="0"/>
          <w:divBdr>
            <w:top w:val="none" w:sz="0" w:space="0" w:color="auto"/>
            <w:left w:val="none" w:sz="0" w:space="0" w:color="auto"/>
            <w:bottom w:val="none" w:sz="0" w:space="0" w:color="auto"/>
            <w:right w:val="none" w:sz="0" w:space="0" w:color="auto"/>
          </w:divBdr>
        </w:div>
        <w:div w:id="265620285">
          <w:marLeft w:val="446"/>
          <w:marRight w:val="0"/>
          <w:marTop w:val="0"/>
          <w:marBottom w:val="0"/>
          <w:divBdr>
            <w:top w:val="none" w:sz="0" w:space="0" w:color="auto"/>
            <w:left w:val="none" w:sz="0" w:space="0" w:color="auto"/>
            <w:bottom w:val="none" w:sz="0" w:space="0" w:color="auto"/>
            <w:right w:val="none" w:sz="0" w:space="0" w:color="auto"/>
          </w:divBdr>
        </w:div>
        <w:div w:id="488642042">
          <w:marLeft w:val="446"/>
          <w:marRight w:val="0"/>
          <w:marTop w:val="0"/>
          <w:marBottom w:val="0"/>
          <w:divBdr>
            <w:top w:val="none" w:sz="0" w:space="0" w:color="auto"/>
            <w:left w:val="none" w:sz="0" w:space="0" w:color="auto"/>
            <w:bottom w:val="none" w:sz="0" w:space="0" w:color="auto"/>
            <w:right w:val="none" w:sz="0" w:space="0" w:color="auto"/>
          </w:divBdr>
        </w:div>
        <w:div w:id="1337727988">
          <w:marLeft w:val="446"/>
          <w:marRight w:val="0"/>
          <w:marTop w:val="0"/>
          <w:marBottom w:val="0"/>
          <w:divBdr>
            <w:top w:val="none" w:sz="0" w:space="0" w:color="auto"/>
            <w:left w:val="none" w:sz="0" w:space="0" w:color="auto"/>
            <w:bottom w:val="none" w:sz="0" w:space="0" w:color="auto"/>
            <w:right w:val="none" w:sz="0" w:space="0" w:color="auto"/>
          </w:divBdr>
        </w:div>
        <w:div w:id="1873767476">
          <w:marLeft w:val="446"/>
          <w:marRight w:val="0"/>
          <w:marTop w:val="0"/>
          <w:marBottom w:val="0"/>
          <w:divBdr>
            <w:top w:val="none" w:sz="0" w:space="0" w:color="auto"/>
            <w:left w:val="none" w:sz="0" w:space="0" w:color="auto"/>
            <w:bottom w:val="none" w:sz="0" w:space="0" w:color="auto"/>
            <w:right w:val="none" w:sz="0" w:space="0" w:color="auto"/>
          </w:divBdr>
        </w:div>
        <w:div w:id="2089840752">
          <w:marLeft w:val="446"/>
          <w:marRight w:val="0"/>
          <w:marTop w:val="0"/>
          <w:marBottom w:val="0"/>
          <w:divBdr>
            <w:top w:val="none" w:sz="0" w:space="0" w:color="auto"/>
            <w:left w:val="none" w:sz="0" w:space="0" w:color="auto"/>
            <w:bottom w:val="none" w:sz="0" w:space="0" w:color="auto"/>
            <w:right w:val="none" w:sz="0" w:space="0" w:color="auto"/>
          </w:divBdr>
        </w:div>
        <w:div w:id="2122872135">
          <w:marLeft w:val="446"/>
          <w:marRight w:val="0"/>
          <w:marTop w:val="0"/>
          <w:marBottom w:val="0"/>
          <w:divBdr>
            <w:top w:val="none" w:sz="0" w:space="0" w:color="auto"/>
            <w:left w:val="none" w:sz="0" w:space="0" w:color="auto"/>
            <w:bottom w:val="none" w:sz="0" w:space="0" w:color="auto"/>
            <w:right w:val="none" w:sz="0" w:space="0" w:color="auto"/>
          </w:divBdr>
        </w:div>
      </w:divsChild>
    </w:div>
    <w:div w:id="663629690">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
          <w:marLeft w:val="446"/>
          <w:marRight w:val="0"/>
          <w:marTop w:val="0"/>
          <w:marBottom w:val="0"/>
          <w:divBdr>
            <w:top w:val="none" w:sz="0" w:space="0" w:color="auto"/>
            <w:left w:val="none" w:sz="0" w:space="0" w:color="auto"/>
            <w:bottom w:val="none" w:sz="0" w:space="0" w:color="auto"/>
            <w:right w:val="none" w:sz="0" w:space="0" w:color="auto"/>
          </w:divBdr>
        </w:div>
        <w:div w:id="223877274">
          <w:marLeft w:val="446"/>
          <w:marRight w:val="0"/>
          <w:marTop w:val="0"/>
          <w:marBottom w:val="0"/>
          <w:divBdr>
            <w:top w:val="none" w:sz="0" w:space="0" w:color="auto"/>
            <w:left w:val="none" w:sz="0" w:space="0" w:color="auto"/>
            <w:bottom w:val="none" w:sz="0" w:space="0" w:color="auto"/>
            <w:right w:val="none" w:sz="0" w:space="0" w:color="auto"/>
          </w:divBdr>
        </w:div>
        <w:div w:id="396173781">
          <w:marLeft w:val="446"/>
          <w:marRight w:val="0"/>
          <w:marTop w:val="0"/>
          <w:marBottom w:val="0"/>
          <w:divBdr>
            <w:top w:val="none" w:sz="0" w:space="0" w:color="auto"/>
            <w:left w:val="none" w:sz="0" w:space="0" w:color="auto"/>
            <w:bottom w:val="none" w:sz="0" w:space="0" w:color="auto"/>
            <w:right w:val="none" w:sz="0" w:space="0" w:color="auto"/>
          </w:divBdr>
        </w:div>
        <w:div w:id="649595559">
          <w:marLeft w:val="446"/>
          <w:marRight w:val="0"/>
          <w:marTop w:val="0"/>
          <w:marBottom w:val="0"/>
          <w:divBdr>
            <w:top w:val="none" w:sz="0" w:space="0" w:color="auto"/>
            <w:left w:val="none" w:sz="0" w:space="0" w:color="auto"/>
            <w:bottom w:val="none" w:sz="0" w:space="0" w:color="auto"/>
            <w:right w:val="none" w:sz="0" w:space="0" w:color="auto"/>
          </w:divBdr>
        </w:div>
        <w:div w:id="772938272">
          <w:marLeft w:val="446"/>
          <w:marRight w:val="0"/>
          <w:marTop w:val="0"/>
          <w:marBottom w:val="0"/>
          <w:divBdr>
            <w:top w:val="none" w:sz="0" w:space="0" w:color="auto"/>
            <w:left w:val="none" w:sz="0" w:space="0" w:color="auto"/>
            <w:bottom w:val="none" w:sz="0" w:space="0" w:color="auto"/>
            <w:right w:val="none" w:sz="0" w:space="0" w:color="auto"/>
          </w:divBdr>
        </w:div>
        <w:div w:id="1008753093">
          <w:marLeft w:val="446"/>
          <w:marRight w:val="0"/>
          <w:marTop w:val="0"/>
          <w:marBottom w:val="0"/>
          <w:divBdr>
            <w:top w:val="none" w:sz="0" w:space="0" w:color="auto"/>
            <w:left w:val="none" w:sz="0" w:space="0" w:color="auto"/>
            <w:bottom w:val="none" w:sz="0" w:space="0" w:color="auto"/>
            <w:right w:val="none" w:sz="0" w:space="0" w:color="auto"/>
          </w:divBdr>
        </w:div>
        <w:div w:id="1065224913">
          <w:marLeft w:val="446"/>
          <w:marRight w:val="0"/>
          <w:marTop w:val="0"/>
          <w:marBottom w:val="0"/>
          <w:divBdr>
            <w:top w:val="none" w:sz="0" w:space="0" w:color="auto"/>
            <w:left w:val="none" w:sz="0" w:space="0" w:color="auto"/>
            <w:bottom w:val="none" w:sz="0" w:space="0" w:color="auto"/>
            <w:right w:val="none" w:sz="0" w:space="0" w:color="auto"/>
          </w:divBdr>
        </w:div>
        <w:div w:id="1752310900">
          <w:marLeft w:val="446"/>
          <w:marRight w:val="0"/>
          <w:marTop w:val="0"/>
          <w:marBottom w:val="0"/>
          <w:divBdr>
            <w:top w:val="none" w:sz="0" w:space="0" w:color="auto"/>
            <w:left w:val="none" w:sz="0" w:space="0" w:color="auto"/>
            <w:bottom w:val="none" w:sz="0" w:space="0" w:color="auto"/>
            <w:right w:val="none" w:sz="0" w:space="0" w:color="auto"/>
          </w:divBdr>
        </w:div>
        <w:div w:id="1762525457">
          <w:marLeft w:val="446"/>
          <w:marRight w:val="0"/>
          <w:marTop w:val="0"/>
          <w:marBottom w:val="0"/>
          <w:divBdr>
            <w:top w:val="none" w:sz="0" w:space="0" w:color="auto"/>
            <w:left w:val="none" w:sz="0" w:space="0" w:color="auto"/>
            <w:bottom w:val="none" w:sz="0" w:space="0" w:color="auto"/>
            <w:right w:val="none" w:sz="0" w:space="0" w:color="auto"/>
          </w:divBdr>
        </w:div>
        <w:div w:id="2112121524">
          <w:marLeft w:val="446"/>
          <w:marRight w:val="0"/>
          <w:marTop w:val="0"/>
          <w:marBottom w:val="0"/>
          <w:divBdr>
            <w:top w:val="none" w:sz="0" w:space="0" w:color="auto"/>
            <w:left w:val="none" w:sz="0" w:space="0" w:color="auto"/>
            <w:bottom w:val="none" w:sz="0" w:space="0" w:color="auto"/>
            <w:right w:val="none" w:sz="0" w:space="0" w:color="auto"/>
          </w:divBdr>
        </w:div>
      </w:divsChild>
    </w:div>
    <w:div w:id="712655617">
      <w:bodyDiv w:val="1"/>
      <w:marLeft w:val="0"/>
      <w:marRight w:val="0"/>
      <w:marTop w:val="0"/>
      <w:marBottom w:val="0"/>
      <w:divBdr>
        <w:top w:val="none" w:sz="0" w:space="0" w:color="auto"/>
        <w:left w:val="none" w:sz="0" w:space="0" w:color="auto"/>
        <w:bottom w:val="none" w:sz="0" w:space="0" w:color="auto"/>
        <w:right w:val="none" w:sz="0" w:space="0" w:color="auto"/>
      </w:divBdr>
    </w:div>
    <w:div w:id="772364273">
      <w:bodyDiv w:val="1"/>
      <w:marLeft w:val="0"/>
      <w:marRight w:val="0"/>
      <w:marTop w:val="0"/>
      <w:marBottom w:val="0"/>
      <w:divBdr>
        <w:top w:val="none" w:sz="0" w:space="0" w:color="auto"/>
        <w:left w:val="none" w:sz="0" w:space="0" w:color="auto"/>
        <w:bottom w:val="none" w:sz="0" w:space="0" w:color="auto"/>
        <w:right w:val="none" w:sz="0" w:space="0" w:color="auto"/>
      </w:divBdr>
    </w:div>
    <w:div w:id="824131929">
      <w:bodyDiv w:val="1"/>
      <w:marLeft w:val="0"/>
      <w:marRight w:val="0"/>
      <w:marTop w:val="0"/>
      <w:marBottom w:val="0"/>
      <w:divBdr>
        <w:top w:val="none" w:sz="0" w:space="0" w:color="auto"/>
        <w:left w:val="none" w:sz="0" w:space="0" w:color="auto"/>
        <w:bottom w:val="none" w:sz="0" w:space="0" w:color="auto"/>
        <w:right w:val="none" w:sz="0" w:space="0" w:color="auto"/>
      </w:divBdr>
    </w:div>
    <w:div w:id="862747783">
      <w:bodyDiv w:val="1"/>
      <w:marLeft w:val="0"/>
      <w:marRight w:val="0"/>
      <w:marTop w:val="0"/>
      <w:marBottom w:val="0"/>
      <w:divBdr>
        <w:top w:val="none" w:sz="0" w:space="0" w:color="auto"/>
        <w:left w:val="none" w:sz="0" w:space="0" w:color="auto"/>
        <w:bottom w:val="none" w:sz="0" w:space="0" w:color="auto"/>
        <w:right w:val="none" w:sz="0" w:space="0" w:color="auto"/>
      </w:divBdr>
      <w:divsChild>
        <w:div w:id="84425771">
          <w:marLeft w:val="446"/>
          <w:marRight w:val="0"/>
          <w:marTop w:val="0"/>
          <w:marBottom w:val="0"/>
          <w:divBdr>
            <w:top w:val="none" w:sz="0" w:space="0" w:color="auto"/>
            <w:left w:val="none" w:sz="0" w:space="0" w:color="auto"/>
            <w:bottom w:val="none" w:sz="0" w:space="0" w:color="auto"/>
            <w:right w:val="none" w:sz="0" w:space="0" w:color="auto"/>
          </w:divBdr>
        </w:div>
        <w:div w:id="166402795">
          <w:marLeft w:val="446"/>
          <w:marRight w:val="0"/>
          <w:marTop w:val="0"/>
          <w:marBottom w:val="0"/>
          <w:divBdr>
            <w:top w:val="none" w:sz="0" w:space="0" w:color="auto"/>
            <w:left w:val="none" w:sz="0" w:space="0" w:color="auto"/>
            <w:bottom w:val="none" w:sz="0" w:space="0" w:color="auto"/>
            <w:right w:val="none" w:sz="0" w:space="0" w:color="auto"/>
          </w:divBdr>
        </w:div>
        <w:div w:id="1031109959">
          <w:marLeft w:val="446"/>
          <w:marRight w:val="0"/>
          <w:marTop w:val="0"/>
          <w:marBottom w:val="0"/>
          <w:divBdr>
            <w:top w:val="none" w:sz="0" w:space="0" w:color="auto"/>
            <w:left w:val="none" w:sz="0" w:space="0" w:color="auto"/>
            <w:bottom w:val="none" w:sz="0" w:space="0" w:color="auto"/>
            <w:right w:val="none" w:sz="0" w:space="0" w:color="auto"/>
          </w:divBdr>
        </w:div>
      </w:divsChild>
    </w:div>
    <w:div w:id="956567081">
      <w:bodyDiv w:val="1"/>
      <w:marLeft w:val="0"/>
      <w:marRight w:val="0"/>
      <w:marTop w:val="0"/>
      <w:marBottom w:val="0"/>
      <w:divBdr>
        <w:top w:val="none" w:sz="0" w:space="0" w:color="auto"/>
        <w:left w:val="none" w:sz="0" w:space="0" w:color="auto"/>
        <w:bottom w:val="none" w:sz="0" w:space="0" w:color="auto"/>
        <w:right w:val="none" w:sz="0" w:space="0" w:color="auto"/>
      </w:divBdr>
    </w:div>
    <w:div w:id="1226144744">
      <w:bodyDiv w:val="1"/>
      <w:marLeft w:val="0"/>
      <w:marRight w:val="0"/>
      <w:marTop w:val="0"/>
      <w:marBottom w:val="0"/>
      <w:divBdr>
        <w:top w:val="none" w:sz="0" w:space="0" w:color="auto"/>
        <w:left w:val="none" w:sz="0" w:space="0" w:color="auto"/>
        <w:bottom w:val="none" w:sz="0" w:space="0" w:color="auto"/>
        <w:right w:val="none" w:sz="0" w:space="0" w:color="auto"/>
      </w:divBdr>
    </w:div>
    <w:div w:id="1258102206">
      <w:bodyDiv w:val="1"/>
      <w:marLeft w:val="0"/>
      <w:marRight w:val="0"/>
      <w:marTop w:val="0"/>
      <w:marBottom w:val="0"/>
      <w:divBdr>
        <w:top w:val="none" w:sz="0" w:space="0" w:color="auto"/>
        <w:left w:val="none" w:sz="0" w:space="0" w:color="auto"/>
        <w:bottom w:val="none" w:sz="0" w:space="0" w:color="auto"/>
        <w:right w:val="none" w:sz="0" w:space="0" w:color="auto"/>
      </w:divBdr>
    </w:div>
    <w:div w:id="1371345253">
      <w:bodyDiv w:val="1"/>
      <w:marLeft w:val="0"/>
      <w:marRight w:val="0"/>
      <w:marTop w:val="0"/>
      <w:marBottom w:val="0"/>
      <w:divBdr>
        <w:top w:val="none" w:sz="0" w:space="0" w:color="auto"/>
        <w:left w:val="none" w:sz="0" w:space="0" w:color="auto"/>
        <w:bottom w:val="none" w:sz="0" w:space="0" w:color="auto"/>
        <w:right w:val="none" w:sz="0" w:space="0" w:color="auto"/>
      </w:divBdr>
      <w:divsChild>
        <w:div w:id="753210108">
          <w:marLeft w:val="446"/>
          <w:marRight w:val="0"/>
          <w:marTop w:val="0"/>
          <w:marBottom w:val="0"/>
          <w:divBdr>
            <w:top w:val="none" w:sz="0" w:space="0" w:color="auto"/>
            <w:left w:val="none" w:sz="0" w:space="0" w:color="auto"/>
            <w:bottom w:val="none" w:sz="0" w:space="0" w:color="auto"/>
            <w:right w:val="none" w:sz="0" w:space="0" w:color="auto"/>
          </w:divBdr>
        </w:div>
        <w:div w:id="893156425">
          <w:marLeft w:val="446"/>
          <w:marRight w:val="0"/>
          <w:marTop w:val="0"/>
          <w:marBottom w:val="0"/>
          <w:divBdr>
            <w:top w:val="none" w:sz="0" w:space="0" w:color="auto"/>
            <w:left w:val="none" w:sz="0" w:space="0" w:color="auto"/>
            <w:bottom w:val="none" w:sz="0" w:space="0" w:color="auto"/>
            <w:right w:val="none" w:sz="0" w:space="0" w:color="auto"/>
          </w:divBdr>
        </w:div>
        <w:div w:id="1377579622">
          <w:marLeft w:val="446"/>
          <w:marRight w:val="0"/>
          <w:marTop w:val="0"/>
          <w:marBottom w:val="0"/>
          <w:divBdr>
            <w:top w:val="none" w:sz="0" w:space="0" w:color="auto"/>
            <w:left w:val="none" w:sz="0" w:space="0" w:color="auto"/>
            <w:bottom w:val="none" w:sz="0" w:space="0" w:color="auto"/>
            <w:right w:val="none" w:sz="0" w:space="0" w:color="auto"/>
          </w:divBdr>
        </w:div>
        <w:div w:id="1495801190">
          <w:marLeft w:val="446"/>
          <w:marRight w:val="0"/>
          <w:marTop w:val="0"/>
          <w:marBottom w:val="0"/>
          <w:divBdr>
            <w:top w:val="none" w:sz="0" w:space="0" w:color="auto"/>
            <w:left w:val="none" w:sz="0" w:space="0" w:color="auto"/>
            <w:bottom w:val="none" w:sz="0" w:space="0" w:color="auto"/>
            <w:right w:val="none" w:sz="0" w:space="0" w:color="auto"/>
          </w:divBdr>
        </w:div>
        <w:div w:id="1501964815">
          <w:marLeft w:val="446"/>
          <w:marRight w:val="0"/>
          <w:marTop w:val="0"/>
          <w:marBottom w:val="0"/>
          <w:divBdr>
            <w:top w:val="none" w:sz="0" w:space="0" w:color="auto"/>
            <w:left w:val="none" w:sz="0" w:space="0" w:color="auto"/>
            <w:bottom w:val="none" w:sz="0" w:space="0" w:color="auto"/>
            <w:right w:val="none" w:sz="0" w:space="0" w:color="auto"/>
          </w:divBdr>
        </w:div>
        <w:div w:id="1625695911">
          <w:marLeft w:val="446"/>
          <w:marRight w:val="0"/>
          <w:marTop w:val="0"/>
          <w:marBottom w:val="0"/>
          <w:divBdr>
            <w:top w:val="none" w:sz="0" w:space="0" w:color="auto"/>
            <w:left w:val="none" w:sz="0" w:space="0" w:color="auto"/>
            <w:bottom w:val="none" w:sz="0" w:space="0" w:color="auto"/>
            <w:right w:val="none" w:sz="0" w:space="0" w:color="auto"/>
          </w:divBdr>
        </w:div>
        <w:div w:id="1780761089">
          <w:marLeft w:val="446"/>
          <w:marRight w:val="0"/>
          <w:marTop w:val="0"/>
          <w:marBottom w:val="0"/>
          <w:divBdr>
            <w:top w:val="none" w:sz="0" w:space="0" w:color="auto"/>
            <w:left w:val="none" w:sz="0" w:space="0" w:color="auto"/>
            <w:bottom w:val="none" w:sz="0" w:space="0" w:color="auto"/>
            <w:right w:val="none" w:sz="0" w:space="0" w:color="auto"/>
          </w:divBdr>
        </w:div>
      </w:divsChild>
    </w:div>
    <w:div w:id="1397052337">
      <w:bodyDiv w:val="1"/>
      <w:marLeft w:val="0"/>
      <w:marRight w:val="0"/>
      <w:marTop w:val="0"/>
      <w:marBottom w:val="0"/>
      <w:divBdr>
        <w:top w:val="none" w:sz="0" w:space="0" w:color="auto"/>
        <w:left w:val="none" w:sz="0" w:space="0" w:color="auto"/>
        <w:bottom w:val="none" w:sz="0" w:space="0" w:color="auto"/>
        <w:right w:val="none" w:sz="0" w:space="0" w:color="auto"/>
      </w:divBdr>
    </w:div>
    <w:div w:id="1585609980">
      <w:bodyDiv w:val="1"/>
      <w:marLeft w:val="0"/>
      <w:marRight w:val="0"/>
      <w:marTop w:val="0"/>
      <w:marBottom w:val="0"/>
      <w:divBdr>
        <w:top w:val="none" w:sz="0" w:space="0" w:color="auto"/>
        <w:left w:val="none" w:sz="0" w:space="0" w:color="auto"/>
        <w:bottom w:val="none" w:sz="0" w:space="0" w:color="auto"/>
        <w:right w:val="none" w:sz="0" w:space="0" w:color="auto"/>
      </w:divBdr>
      <w:divsChild>
        <w:div w:id="1070662061">
          <w:marLeft w:val="446"/>
          <w:marRight w:val="0"/>
          <w:marTop w:val="0"/>
          <w:marBottom w:val="0"/>
          <w:divBdr>
            <w:top w:val="none" w:sz="0" w:space="0" w:color="auto"/>
            <w:left w:val="none" w:sz="0" w:space="0" w:color="auto"/>
            <w:bottom w:val="none" w:sz="0" w:space="0" w:color="auto"/>
            <w:right w:val="none" w:sz="0" w:space="0" w:color="auto"/>
          </w:divBdr>
        </w:div>
        <w:div w:id="1892420990">
          <w:marLeft w:val="446"/>
          <w:marRight w:val="0"/>
          <w:marTop w:val="0"/>
          <w:marBottom w:val="0"/>
          <w:divBdr>
            <w:top w:val="none" w:sz="0" w:space="0" w:color="auto"/>
            <w:left w:val="none" w:sz="0" w:space="0" w:color="auto"/>
            <w:bottom w:val="none" w:sz="0" w:space="0" w:color="auto"/>
            <w:right w:val="none" w:sz="0" w:space="0" w:color="auto"/>
          </w:divBdr>
        </w:div>
      </w:divsChild>
    </w:div>
    <w:div w:id="1830516956">
      <w:bodyDiv w:val="1"/>
      <w:marLeft w:val="0"/>
      <w:marRight w:val="0"/>
      <w:marTop w:val="0"/>
      <w:marBottom w:val="0"/>
      <w:divBdr>
        <w:top w:val="none" w:sz="0" w:space="0" w:color="auto"/>
        <w:left w:val="none" w:sz="0" w:space="0" w:color="auto"/>
        <w:bottom w:val="none" w:sz="0" w:space="0" w:color="auto"/>
        <w:right w:val="none" w:sz="0" w:space="0" w:color="auto"/>
      </w:divBdr>
    </w:div>
    <w:div w:id="1938830676">
      <w:bodyDiv w:val="1"/>
      <w:marLeft w:val="0"/>
      <w:marRight w:val="0"/>
      <w:marTop w:val="0"/>
      <w:marBottom w:val="0"/>
      <w:divBdr>
        <w:top w:val="none" w:sz="0" w:space="0" w:color="auto"/>
        <w:left w:val="none" w:sz="0" w:space="0" w:color="auto"/>
        <w:bottom w:val="none" w:sz="0" w:space="0" w:color="auto"/>
        <w:right w:val="none" w:sz="0" w:space="0" w:color="auto"/>
      </w:divBdr>
    </w:div>
    <w:div w:id="2123721500">
      <w:bodyDiv w:val="1"/>
      <w:marLeft w:val="0"/>
      <w:marRight w:val="0"/>
      <w:marTop w:val="0"/>
      <w:marBottom w:val="0"/>
      <w:divBdr>
        <w:top w:val="none" w:sz="0" w:space="0" w:color="auto"/>
        <w:left w:val="none" w:sz="0" w:space="0" w:color="auto"/>
        <w:bottom w:val="none" w:sz="0" w:space="0" w:color="auto"/>
        <w:right w:val="none" w:sz="0" w:space="0" w:color="auto"/>
      </w:divBdr>
      <w:divsChild>
        <w:div w:id="266160897">
          <w:marLeft w:val="446"/>
          <w:marRight w:val="0"/>
          <w:marTop w:val="0"/>
          <w:marBottom w:val="0"/>
          <w:divBdr>
            <w:top w:val="none" w:sz="0" w:space="0" w:color="auto"/>
            <w:left w:val="none" w:sz="0" w:space="0" w:color="auto"/>
            <w:bottom w:val="none" w:sz="0" w:space="0" w:color="auto"/>
            <w:right w:val="none" w:sz="0" w:space="0" w:color="auto"/>
          </w:divBdr>
        </w:div>
        <w:div w:id="1824614016">
          <w:marLeft w:val="446"/>
          <w:marRight w:val="0"/>
          <w:marTop w:val="0"/>
          <w:marBottom w:val="0"/>
          <w:divBdr>
            <w:top w:val="none" w:sz="0" w:space="0" w:color="auto"/>
            <w:left w:val="none" w:sz="0" w:space="0" w:color="auto"/>
            <w:bottom w:val="none" w:sz="0" w:space="0" w:color="auto"/>
            <w:right w:val="none" w:sz="0" w:space="0" w:color="auto"/>
          </w:divBdr>
        </w:div>
        <w:div w:id="20763132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osabiertos.bogota.gov.co/dataset/mapa-de-referenc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tos.gov.co"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catastrobogotacol-my.sharepoint.com/personal/lawad_catastrobogota_gov_co/Documents/Desktop/LAWAD/2019/informe%20gestion/Gr&#225;ficas%20y%20Tablas%20informe%20de%20gesti&#243;n%2003122019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858481029093977"/>
          <c:y val="4.5337447563363706E-2"/>
          <c:w val="0.80550235107537349"/>
          <c:h val="0.70661186796125575"/>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s-C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'G1.TotalPred_BC2010-2019'!$A$4:$A$14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'G1.TotalPred_BC2010-2019'!$C$4:$C$14</c:f>
              <c:numCache>
                <c:formatCode>#,##0</c:formatCode>
                <c:ptCount val="11"/>
                <c:pt idx="0">
                  <c:v>2140409</c:v>
                </c:pt>
                <c:pt idx="1">
                  <c:v>2213981</c:v>
                </c:pt>
                <c:pt idx="2">
                  <c:v>2269252</c:v>
                </c:pt>
                <c:pt idx="3">
                  <c:v>2326968</c:v>
                </c:pt>
                <c:pt idx="4">
                  <c:v>2384390</c:v>
                </c:pt>
                <c:pt idx="5">
                  <c:v>2429238</c:v>
                </c:pt>
                <c:pt idx="6">
                  <c:v>2481706</c:v>
                </c:pt>
                <c:pt idx="7">
                  <c:v>2543290</c:v>
                </c:pt>
                <c:pt idx="8">
                  <c:v>2587226</c:v>
                </c:pt>
                <c:pt idx="9">
                  <c:v>2643666</c:v>
                </c:pt>
                <c:pt idx="10">
                  <c:v>2681886</c:v>
                </c:pt>
              </c:numCache>
            </c:numRef>
          </c:val>
          <c:extLst>
            <c:ext xmlns:c16="http://schemas.microsoft.com/office/drawing/2014/chart" uri="{C3380CC4-5D6E-409C-BE32-E72D297353CC}">
              <c16:uniqueId val="{00000000-1672-4D7C-ADEE-A085C6D65EDB}"/>
            </c:ext>
          </c:extLst>
        </c:ser>
        <c:dLbls>
          <c:showLegendKey val="0"/>
          <c:showVal val="0"/>
          <c:showCatName val="0"/>
          <c:showSerName val="0"/>
          <c:showPercent val="0"/>
          <c:showBubbleSize val="0"/>
        </c:dLbls>
        <c:gapWidth val="100"/>
        <c:overlap val="-24"/>
        <c:axId val="24474752"/>
        <c:axId val="24476672"/>
      </c:barChart>
      <c:catAx>
        <c:axId val="244747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s-CO" b="0">
                    <a:solidFill>
                      <a:sysClr val="windowText" lastClr="000000"/>
                    </a:solidFill>
                  </a:rPr>
                  <a:t>Vigencia</a:t>
                </a:r>
              </a:p>
            </c:rich>
          </c:tx>
          <c:layout>
            <c:manualLayout>
              <c:xMode val="edge"/>
              <c:yMode val="edge"/>
              <c:x val="0.46203923281654252"/>
              <c:y val="0.87291444392519246"/>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24476672"/>
        <c:crosses val="autoZero"/>
        <c:auto val="1"/>
        <c:lblAlgn val="ctr"/>
        <c:lblOffset val="100"/>
        <c:noMultiLvlLbl val="0"/>
      </c:catAx>
      <c:valAx>
        <c:axId val="2447667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b="0">
                    <a:solidFill>
                      <a:sysClr val="windowText" lastClr="000000"/>
                    </a:solidFill>
                  </a:rPr>
                  <a:t>Números de predio</a:t>
                </a:r>
              </a:p>
            </c:rich>
          </c:tx>
          <c:layout>
            <c:manualLayout>
              <c:xMode val="edge"/>
              <c:yMode val="edge"/>
              <c:x val="1.884570082449941E-2"/>
              <c:y val="0.27270815470422261"/>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2447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v/>
          </c:tx>
          <c:spPr>
            <a:solidFill>
              <a:srgbClr val="3B64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Hoja3!$J$77:$J$86</c:f>
              <c:strCache>
                <c:ptCount val="10"/>
                <c:pt idx="0">
                  <c:v>RedCADE</c:v>
                </c:pt>
                <c:pt idx="1">
                  <c:v>Cicloparqueaderos Certificados</c:v>
                </c:pt>
                <c:pt idx="2">
                  <c:v>Direcciones Locales de Educación</c:v>
                </c:pt>
                <c:pt idx="3">
                  <c:v>Lote</c:v>
                </c:pt>
                <c:pt idx="4">
                  <c:v>Colegios</c:v>
                </c:pt>
                <c:pt idx="5">
                  <c:v>Placa Domiciliaria</c:v>
                </c:pt>
                <c:pt idx="6">
                  <c:v>Parques</c:v>
                </c:pt>
                <c:pt idx="7">
                  <c:v>Construcción</c:v>
                </c:pt>
                <c:pt idx="8">
                  <c:v>Puestos de Votación</c:v>
                </c:pt>
                <c:pt idx="9">
                  <c:v>Barrio Común</c:v>
                </c:pt>
              </c:strCache>
            </c:strRef>
          </c:cat>
          <c:val>
            <c:numRef>
              <c:f>Hoja3!$K$77:$K$86</c:f>
              <c:numCache>
                <c:formatCode>_(* #,##0_);_(* \(#,##0\);_(* "-"_);_(@_)</c:formatCode>
                <c:ptCount val="10"/>
                <c:pt idx="0">
                  <c:v>461964</c:v>
                </c:pt>
                <c:pt idx="1">
                  <c:v>66133</c:v>
                </c:pt>
                <c:pt idx="2">
                  <c:v>48558</c:v>
                </c:pt>
                <c:pt idx="3">
                  <c:v>43899</c:v>
                </c:pt>
                <c:pt idx="4">
                  <c:v>42587</c:v>
                </c:pt>
                <c:pt idx="5">
                  <c:v>26891</c:v>
                </c:pt>
                <c:pt idx="6">
                  <c:v>25723</c:v>
                </c:pt>
                <c:pt idx="7">
                  <c:v>21591</c:v>
                </c:pt>
                <c:pt idx="8">
                  <c:v>20432</c:v>
                </c:pt>
                <c:pt idx="9">
                  <c:v>18471</c:v>
                </c:pt>
              </c:numCache>
            </c:numRef>
          </c:val>
          <c:extLst>
            <c:ext xmlns:c16="http://schemas.microsoft.com/office/drawing/2014/chart" uri="{C3380CC4-5D6E-409C-BE32-E72D297353CC}">
              <c16:uniqueId val="{00000000-0521-4B05-93A4-0065ADEE631C}"/>
            </c:ext>
          </c:extLst>
        </c:ser>
        <c:dLbls>
          <c:showLegendKey val="0"/>
          <c:showVal val="0"/>
          <c:showCatName val="0"/>
          <c:showSerName val="0"/>
          <c:showPercent val="0"/>
          <c:showBubbleSize val="0"/>
        </c:dLbls>
        <c:gapWidth val="100"/>
        <c:overlap val="-24"/>
        <c:axId val="96459008"/>
        <c:axId val="96464896"/>
      </c:barChart>
      <c:catAx>
        <c:axId val="9645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96464896"/>
        <c:crosses val="autoZero"/>
        <c:auto val="1"/>
        <c:lblAlgn val="ctr"/>
        <c:lblOffset val="100"/>
        <c:noMultiLvlLbl val="0"/>
      </c:catAx>
      <c:valAx>
        <c:axId val="96464896"/>
        <c:scaling>
          <c:orientation val="minMax"/>
        </c:scaling>
        <c:delete val="1"/>
        <c:axPos val="l"/>
        <c:numFmt formatCode="_(* #,##0_);_(* \(#,##0\);_(* &quot;-&quot;_);_(@_)" sourceLinked="1"/>
        <c:majorTickMark val="none"/>
        <c:minorTickMark val="none"/>
        <c:tickLblPos val="nextTo"/>
        <c:crossAx val="96459008"/>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600" b="0" i="0" u="none" strike="noStrike" kern="1200" baseline="0">
                <a:solidFill>
                  <a:schemeClr val="tx1">
                    <a:lumMod val="50000"/>
                    <a:lumOff val="50000"/>
                  </a:schemeClr>
                </a:solidFill>
                <a:latin typeface="+mn-lt"/>
                <a:ea typeface="+mn-ea"/>
                <a:cs typeface="+mn-cs"/>
              </a:defRPr>
            </a:pPr>
            <a:endParaRPr lang="es-CO"/>
          </a:p>
        </c:txPr>
      </c:dTable>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0.25018</cdr:x>
      <cdr:y>0.14632</cdr:y>
    </cdr:from>
    <cdr:to>
      <cdr:x>0.34778</cdr:x>
      <cdr:y>0.222</cdr:y>
    </cdr:to>
    <cdr:sp macro="" textlink="">
      <cdr:nvSpPr>
        <cdr:cNvPr id="3" name="CuadroTexto 6">
          <a:extLst xmlns:a="http://schemas.openxmlformats.org/drawingml/2006/main">
            <a:ext uri="{FF2B5EF4-FFF2-40B4-BE49-F238E27FC236}">
              <a16:creationId xmlns:a16="http://schemas.microsoft.com/office/drawing/2014/main" id="{90E4B590-1A1F-42EF-9C36-E2E1048C5A62}"/>
            </a:ext>
          </a:extLst>
        </cdr:cNvPr>
        <cdr:cNvSpPr txBox="1"/>
      </cdr:nvSpPr>
      <cdr:spPr>
        <a:xfrm xmlns:a="http://schemas.openxmlformats.org/drawingml/2006/main">
          <a:off x="1846778" y="450852"/>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3,44 % </a:t>
          </a:r>
        </a:p>
      </cdr:txBody>
    </cdr:sp>
  </cdr:relSizeAnchor>
  <cdr:relSizeAnchor xmlns:cdr="http://schemas.openxmlformats.org/drawingml/2006/chartDrawing">
    <cdr:from>
      <cdr:x>0.32371</cdr:x>
      <cdr:y>0.13086</cdr:y>
    </cdr:from>
    <cdr:to>
      <cdr:x>0.42131</cdr:x>
      <cdr:y>0.20654</cdr:y>
    </cdr:to>
    <cdr:sp macro="" textlink="">
      <cdr:nvSpPr>
        <cdr:cNvPr id="4" name="CuadroTexto 6">
          <a:extLst xmlns:a="http://schemas.openxmlformats.org/drawingml/2006/main">
            <a:ext uri="{FF2B5EF4-FFF2-40B4-BE49-F238E27FC236}">
              <a16:creationId xmlns:a16="http://schemas.microsoft.com/office/drawing/2014/main" id="{10795830-2251-42DB-9D1E-5B927CD229F3}"/>
            </a:ext>
          </a:extLst>
        </cdr:cNvPr>
        <cdr:cNvSpPr txBox="1"/>
      </cdr:nvSpPr>
      <cdr:spPr>
        <a:xfrm xmlns:a="http://schemas.openxmlformats.org/drawingml/2006/main">
          <a:off x="2389570" y="403227"/>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2,50 % </a:t>
          </a:r>
        </a:p>
      </cdr:txBody>
    </cdr:sp>
  </cdr:relSizeAnchor>
  <cdr:relSizeAnchor xmlns:cdr="http://schemas.openxmlformats.org/drawingml/2006/chartDrawing">
    <cdr:from>
      <cdr:x>0.39662</cdr:x>
      <cdr:y>0.12159</cdr:y>
    </cdr:from>
    <cdr:to>
      <cdr:x>0.49422</cdr:x>
      <cdr:y>0.19727</cdr:y>
    </cdr:to>
    <cdr:sp macro="" textlink="">
      <cdr:nvSpPr>
        <cdr:cNvPr id="5" name="CuadroTexto 6">
          <a:extLst xmlns:a="http://schemas.openxmlformats.org/drawingml/2006/main">
            <a:ext uri="{FF2B5EF4-FFF2-40B4-BE49-F238E27FC236}">
              <a16:creationId xmlns:a16="http://schemas.microsoft.com/office/drawing/2014/main" id="{748A1EDC-3C14-43D7-AC5E-0AD00B35AEDC}"/>
            </a:ext>
          </a:extLst>
        </cdr:cNvPr>
        <cdr:cNvSpPr txBox="1"/>
      </cdr:nvSpPr>
      <cdr:spPr>
        <a:xfrm xmlns:a="http://schemas.openxmlformats.org/drawingml/2006/main">
          <a:off x="2927819" y="374652"/>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2,54 % </a:t>
          </a:r>
        </a:p>
      </cdr:txBody>
    </cdr:sp>
  </cdr:relSizeAnchor>
  <cdr:relSizeAnchor xmlns:cdr="http://schemas.openxmlformats.org/drawingml/2006/chartDrawing">
    <cdr:from>
      <cdr:x>0.47321</cdr:x>
      <cdr:y>0.10613</cdr:y>
    </cdr:from>
    <cdr:to>
      <cdr:x>0.57081</cdr:x>
      <cdr:y>0.18181</cdr:y>
    </cdr:to>
    <cdr:sp macro="" textlink="">
      <cdr:nvSpPr>
        <cdr:cNvPr id="6" name="CuadroTexto 6">
          <a:extLst xmlns:a="http://schemas.openxmlformats.org/drawingml/2006/main">
            <a:ext uri="{FF2B5EF4-FFF2-40B4-BE49-F238E27FC236}">
              <a16:creationId xmlns:a16="http://schemas.microsoft.com/office/drawing/2014/main" id="{A6FA5E83-864F-42E5-992C-9873CE8981A6}"/>
            </a:ext>
          </a:extLst>
        </cdr:cNvPr>
        <cdr:cNvSpPr txBox="1"/>
      </cdr:nvSpPr>
      <cdr:spPr>
        <a:xfrm xmlns:a="http://schemas.openxmlformats.org/drawingml/2006/main">
          <a:off x="3493178" y="327027"/>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2,47 % </a:t>
          </a:r>
        </a:p>
      </cdr:txBody>
    </cdr:sp>
  </cdr:relSizeAnchor>
  <cdr:relSizeAnchor xmlns:cdr="http://schemas.openxmlformats.org/drawingml/2006/chartDrawing">
    <cdr:from>
      <cdr:x>0.54497</cdr:x>
      <cdr:y>0.08758</cdr:y>
    </cdr:from>
    <cdr:to>
      <cdr:x>0.64257</cdr:x>
      <cdr:y>0.16327</cdr:y>
    </cdr:to>
    <cdr:sp macro="" textlink="">
      <cdr:nvSpPr>
        <cdr:cNvPr id="7" name="CuadroTexto 6">
          <a:extLst xmlns:a="http://schemas.openxmlformats.org/drawingml/2006/main">
            <a:ext uri="{FF2B5EF4-FFF2-40B4-BE49-F238E27FC236}">
              <a16:creationId xmlns:a16="http://schemas.microsoft.com/office/drawing/2014/main" id="{E04CE738-4820-4C4B-9A7F-A360D3B36211}"/>
            </a:ext>
          </a:extLst>
        </cdr:cNvPr>
        <cdr:cNvSpPr txBox="1"/>
      </cdr:nvSpPr>
      <cdr:spPr>
        <a:xfrm xmlns:a="http://schemas.openxmlformats.org/drawingml/2006/main">
          <a:off x="4022928" y="269877"/>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1,88 % </a:t>
          </a:r>
        </a:p>
      </cdr:txBody>
    </cdr:sp>
  </cdr:relSizeAnchor>
  <cdr:relSizeAnchor xmlns:cdr="http://schemas.openxmlformats.org/drawingml/2006/chartDrawing">
    <cdr:from>
      <cdr:x>0.61837</cdr:x>
      <cdr:y>0.07522</cdr:y>
    </cdr:from>
    <cdr:to>
      <cdr:x>0.71596</cdr:x>
      <cdr:y>0.1509</cdr:y>
    </cdr:to>
    <cdr:sp macro="" textlink="">
      <cdr:nvSpPr>
        <cdr:cNvPr id="8" name="CuadroTexto 1">
          <a:extLst xmlns:a="http://schemas.openxmlformats.org/drawingml/2006/main">
            <a:ext uri="{FF2B5EF4-FFF2-40B4-BE49-F238E27FC236}">
              <a16:creationId xmlns:a16="http://schemas.microsoft.com/office/drawing/2014/main" id="{D3F24D4B-84AA-4023-AEF3-FA3A44BA248B}"/>
            </a:ext>
          </a:extLst>
        </cdr:cNvPr>
        <cdr:cNvSpPr txBox="1"/>
      </cdr:nvSpPr>
      <cdr:spPr>
        <a:xfrm xmlns:a="http://schemas.openxmlformats.org/drawingml/2006/main">
          <a:off x="4564694" y="231777"/>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2,16 % </a:t>
          </a:r>
        </a:p>
      </cdr:txBody>
    </cdr:sp>
  </cdr:relSizeAnchor>
  <cdr:relSizeAnchor xmlns:cdr="http://schemas.openxmlformats.org/drawingml/2006/chartDrawing">
    <cdr:from>
      <cdr:x>0.69366</cdr:x>
      <cdr:y>0.06285</cdr:y>
    </cdr:from>
    <cdr:to>
      <cdr:x>0.79126</cdr:x>
      <cdr:y>0.13854</cdr:y>
    </cdr:to>
    <cdr:sp macro="" textlink="">
      <cdr:nvSpPr>
        <cdr:cNvPr id="9" name="CuadroTexto 1">
          <a:extLst xmlns:a="http://schemas.openxmlformats.org/drawingml/2006/main">
            <a:ext uri="{FF2B5EF4-FFF2-40B4-BE49-F238E27FC236}">
              <a16:creationId xmlns:a16="http://schemas.microsoft.com/office/drawing/2014/main" id="{AFB1CE97-652D-4799-9AC2-48A3508991AD}"/>
            </a:ext>
          </a:extLst>
        </cdr:cNvPr>
        <cdr:cNvSpPr txBox="1"/>
      </cdr:nvSpPr>
      <cdr:spPr>
        <a:xfrm xmlns:a="http://schemas.openxmlformats.org/drawingml/2006/main">
          <a:off x="5120528" y="193677"/>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2,48 % </a:t>
          </a:r>
        </a:p>
      </cdr:txBody>
    </cdr:sp>
  </cdr:relSizeAnchor>
  <cdr:relSizeAnchor xmlns:cdr="http://schemas.openxmlformats.org/drawingml/2006/chartDrawing">
    <cdr:from>
      <cdr:x>0.76672</cdr:x>
      <cdr:y>0.05976</cdr:y>
    </cdr:from>
    <cdr:to>
      <cdr:x>0.86432</cdr:x>
      <cdr:y>0.13545</cdr:y>
    </cdr:to>
    <cdr:sp macro="" textlink="">
      <cdr:nvSpPr>
        <cdr:cNvPr id="10" name="CuadroTexto 1">
          <a:extLst xmlns:a="http://schemas.openxmlformats.org/drawingml/2006/main">
            <a:ext uri="{FF2B5EF4-FFF2-40B4-BE49-F238E27FC236}">
              <a16:creationId xmlns:a16="http://schemas.microsoft.com/office/drawing/2014/main" id="{6D9C9CB0-ADED-4833-B45B-9CF3BA621EF7}"/>
            </a:ext>
          </a:extLst>
        </cdr:cNvPr>
        <cdr:cNvSpPr txBox="1"/>
      </cdr:nvSpPr>
      <cdr:spPr>
        <a:xfrm xmlns:a="http://schemas.openxmlformats.org/drawingml/2006/main">
          <a:off x="5659808" y="184152"/>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1,73 % </a:t>
          </a:r>
        </a:p>
      </cdr:txBody>
    </cdr:sp>
  </cdr:relSizeAnchor>
  <cdr:relSizeAnchor xmlns:cdr="http://schemas.openxmlformats.org/drawingml/2006/chartDrawing">
    <cdr:from>
      <cdr:x>0.83657</cdr:x>
      <cdr:y>0.05049</cdr:y>
    </cdr:from>
    <cdr:to>
      <cdr:x>0.93417</cdr:x>
      <cdr:y>0.12617</cdr:y>
    </cdr:to>
    <cdr:sp macro="" textlink="">
      <cdr:nvSpPr>
        <cdr:cNvPr id="11" name="CuadroTexto 1">
          <a:extLst xmlns:a="http://schemas.openxmlformats.org/drawingml/2006/main">
            <a:ext uri="{FF2B5EF4-FFF2-40B4-BE49-F238E27FC236}">
              <a16:creationId xmlns:a16="http://schemas.microsoft.com/office/drawing/2014/main" id="{0BF824FC-6D30-499B-A743-EEB5951171DD}"/>
            </a:ext>
          </a:extLst>
        </cdr:cNvPr>
        <cdr:cNvSpPr txBox="1"/>
      </cdr:nvSpPr>
      <cdr:spPr>
        <a:xfrm xmlns:a="http://schemas.openxmlformats.org/drawingml/2006/main">
          <a:off x="6175490" y="155577"/>
          <a:ext cx="720465"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2,18 % </a:t>
          </a:r>
        </a:p>
      </cdr:txBody>
    </cdr:sp>
  </cdr:relSizeAnchor>
  <cdr:relSizeAnchor xmlns:cdr="http://schemas.openxmlformats.org/drawingml/2006/chartDrawing">
    <cdr:from>
      <cdr:x>0.89921</cdr:x>
      <cdr:y>0.03624</cdr:y>
    </cdr:from>
    <cdr:to>
      <cdr:x>0.99006</cdr:x>
      <cdr:y>0.13905</cdr:y>
    </cdr:to>
    <cdr:sp macro="" textlink="">
      <cdr:nvSpPr>
        <cdr:cNvPr id="12" name="CuadroTexto 1"/>
        <cdr:cNvSpPr txBox="1"/>
      </cdr:nvSpPr>
      <cdr:spPr>
        <a:xfrm xmlns:a="http://schemas.openxmlformats.org/drawingml/2006/main">
          <a:off x="5208086" y="82195"/>
          <a:ext cx="526170"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O" sz="900" b="1"/>
            <a:t>1,45 % </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0056F20F946EDB700415BEB463D5E"/>
        <w:category>
          <w:name w:val="General"/>
          <w:gallery w:val="placeholder"/>
        </w:category>
        <w:types>
          <w:type w:val="bbPlcHdr"/>
        </w:types>
        <w:behaviors>
          <w:behavior w:val="content"/>
        </w:behaviors>
        <w:guid w:val="{507862B9-44DC-4D0F-BCBF-54BB29DDDDD0}"/>
      </w:docPartPr>
      <w:docPartBody>
        <w:p w:rsidR="00EA7E4A" w:rsidRDefault="00EA7E4A" w:rsidP="00EA7E4A">
          <w:pPr>
            <w:pStyle w:val="0C60056F20F946EDB700415BEB463D5E"/>
          </w:pPr>
          <w:r>
            <w:rPr>
              <w:rFonts w:asciiTheme="majorHAnsi" w:eastAsiaTheme="majorEastAsia" w:hAnsiTheme="majorHAnsi" w:cstheme="majorBidi"/>
              <w:sz w:val="72"/>
              <w:szCs w:val="72"/>
              <w:lang w:val="es-ES"/>
            </w:rPr>
            <w:t>[Escriba el título del documento]</w:t>
          </w:r>
        </w:p>
      </w:docPartBody>
    </w:docPart>
    <w:docPart>
      <w:docPartPr>
        <w:name w:val="55C21410CCC444C6B3548BA58F4434EC"/>
        <w:category>
          <w:name w:val="General"/>
          <w:gallery w:val="placeholder"/>
        </w:category>
        <w:types>
          <w:type w:val="bbPlcHdr"/>
        </w:types>
        <w:behaviors>
          <w:behavior w:val="content"/>
        </w:behaviors>
        <w:guid w:val="{1E5C7EE0-A31D-4ED3-BF2E-F3B83379DA65}"/>
      </w:docPartPr>
      <w:docPartBody>
        <w:p w:rsidR="00EA7E4A" w:rsidRDefault="00EA7E4A" w:rsidP="00EA7E4A">
          <w:pPr>
            <w:pStyle w:val="55C21410CCC444C6B3548BA58F4434EC"/>
          </w:pPr>
          <w:r>
            <w:rPr>
              <w:sz w:val="40"/>
              <w:szCs w:val="40"/>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icrogrammaDMedEx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 Rounded Medium">
    <w:altName w:val="Times New Roman"/>
    <w:panose1 w:val="00000000000000000000"/>
    <w:charset w:val="00"/>
    <w:family w:val="modern"/>
    <w:notTrueType/>
    <w:pitch w:val="variable"/>
    <w:sig w:usb0="A00000FF" w:usb1="4000004A" w:usb2="00000000" w:usb3="00000000" w:csb0="0000000B" w:csb1="00000000"/>
  </w:font>
  <w:font w:name="Open Sans">
    <w:altName w:val="Segoe UI"/>
    <w:charset w:val="00"/>
    <w:family w:val="swiss"/>
    <w:pitch w:val="variable"/>
    <w:sig w:usb0="E00002EF" w:usb1="4000205B" w:usb2="00000028"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E4A"/>
    <w:rsid w:val="00095DE6"/>
    <w:rsid w:val="000A1077"/>
    <w:rsid w:val="005028E2"/>
    <w:rsid w:val="00701C10"/>
    <w:rsid w:val="00733D12"/>
    <w:rsid w:val="0087426C"/>
    <w:rsid w:val="008B507C"/>
    <w:rsid w:val="009D0D2F"/>
    <w:rsid w:val="00D84120"/>
    <w:rsid w:val="00EA7E4A"/>
    <w:rsid w:val="00F63B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60056F20F946EDB700415BEB463D5E">
    <w:name w:val="0C60056F20F946EDB700415BEB463D5E"/>
    <w:rsid w:val="00EA7E4A"/>
  </w:style>
  <w:style w:type="paragraph" w:customStyle="1" w:styleId="55C21410CCC444C6B3548BA58F4434EC">
    <w:name w:val="55C21410CCC444C6B3548BA58F4434EC"/>
    <w:rsid w:val="00EA7E4A"/>
  </w:style>
  <w:style w:type="paragraph" w:customStyle="1" w:styleId="9797738113D14371B5882F731E523836">
    <w:name w:val="9797738113D14371B5882F731E523836"/>
    <w:rsid w:val="00F63BCB"/>
    <w:pPr>
      <w:spacing w:after="160" w:line="259" w:lineRule="auto"/>
    </w:pPr>
  </w:style>
  <w:style w:type="paragraph" w:customStyle="1" w:styleId="036F0DF958514C2685B927C4FEB3E80F">
    <w:name w:val="036F0DF958514C2685B927C4FEB3E80F"/>
    <w:rsid w:val="00F63BCB"/>
    <w:pPr>
      <w:spacing w:after="160" w:line="259" w:lineRule="auto"/>
    </w:pPr>
  </w:style>
  <w:style w:type="paragraph" w:customStyle="1" w:styleId="BD98F4AB93BE4E66B89CCF6C72110C52">
    <w:name w:val="BD98F4AB93BE4E66B89CCF6C72110C52"/>
    <w:rsid w:val="00F63B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ED82-F096-4E90-949E-FE516AD8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11330</Words>
  <Characters>62317</Characters>
  <Application>Microsoft Office Word</Application>
  <DocSecurity>0</DocSecurity>
  <Lines>519</Lines>
  <Paragraphs>146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Informe de Gestión Plan de Acción Proyectos de Inversión 2019</vt:lpstr>
      <vt:lpstr>INTRODUCCIÓN</vt:lpstr>
      <vt:lpstr>PROYECTOS DE INVERSIÓN</vt:lpstr>
      <vt:lpstr>INFORME DE GESTIÓN PROYECTOS DE INVERSIÓN 2019</vt:lpstr>
      <vt:lpstr/>
      <vt:lpstr/>
      <vt:lpstr>ANEXOS</vt:lpstr>
    </vt:vector>
  </TitlesOfParts>
  <Company>Hewlett-Packard Company</Company>
  <LinksUpToDate>false</LinksUpToDate>
  <CharactersWithSpaces>73501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Plan de Acción Proyectos de Inversión 2019</dc:title>
  <dc:subject>Unidad Administrativa Especial de Catastro Distrital</dc:subject>
  <dc:creator>Victor Alonso Torres Poveda</dc:creator>
  <cp:lastModifiedBy>Yamile Espinosa Galindo</cp:lastModifiedBy>
  <cp:revision>2</cp:revision>
  <cp:lastPrinted>2018-01-30T17:03:00Z</cp:lastPrinted>
  <dcterms:created xsi:type="dcterms:W3CDTF">2020-01-29T21:31:00Z</dcterms:created>
  <dcterms:modified xsi:type="dcterms:W3CDTF">2020-01-29T21:31:00Z</dcterms:modified>
</cp:coreProperties>
</file>