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FBE6A" w14:textId="77777777" w:rsidR="00F3587C" w:rsidRDefault="00F3587C" w:rsidP="00A0581F">
      <w:pPr>
        <w:pStyle w:val="Encabezado"/>
        <w:jc w:val="center"/>
        <w:rPr>
          <w:b/>
          <w:bCs/>
          <w:sz w:val="24"/>
          <w:szCs w:val="24"/>
        </w:rPr>
      </w:pPr>
    </w:p>
    <w:p w14:paraId="31929050" w14:textId="77777777" w:rsidR="00F3587C" w:rsidRDefault="00F3587C" w:rsidP="00A0581F">
      <w:pPr>
        <w:pStyle w:val="Encabezado"/>
        <w:jc w:val="center"/>
        <w:rPr>
          <w:b/>
          <w:bCs/>
          <w:sz w:val="24"/>
          <w:szCs w:val="24"/>
        </w:rPr>
      </w:pPr>
    </w:p>
    <w:p w14:paraId="5EB71A03" w14:textId="77777777" w:rsidR="00F3587C" w:rsidRDefault="00F3587C" w:rsidP="00A0581F">
      <w:pPr>
        <w:pStyle w:val="Encabezado"/>
        <w:jc w:val="center"/>
        <w:rPr>
          <w:b/>
          <w:bCs/>
          <w:sz w:val="24"/>
          <w:szCs w:val="24"/>
        </w:rPr>
      </w:pPr>
    </w:p>
    <w:p w14:paraId="0C28C114" w14:textId="77777777" w:rsidR="00F3587C" w:rsidRDefault="00F3587C" w:rsidP="00A0581F">
      <w:pPr>
        <w:pStyle w:val="Encabezado"/>
        <w:jc w:val="center"/>
        <w:rPr>
          <w:b/>
          <w:bCs/>
          <w:sz w:val="24"/>
          <w:szCs w:val="24"/>
        </w:rPr>
      </w:pPr>
    </w:p>
    <w:p w14:paraId="2FE5338A" w14:textId="77777777" w:rsidR="00A0581F" w:rsidRPr="00DC2ED9" w:rsidRDefault="00A0581F" w:rsidP="00A0581F">
      <w:pPr>
        <w:pStyle w:val="Encabezado"/>
        <w:jc w:val="center"/>
        <w:rPr>
          <w:b/>
          <w:bCs/>
          <w:sz w:val="24"/>
          <w:szCs w:val="24"/>
        </w:rPr>
      </w:pPr>
      <w:r w:rsidRPr="00DC2ED9">
        <w:rPr>
          <w:b/>
          <w:bCs/>
          <w:sz w:val="24"/>
          <w:szCs w:val="24"/>
        </w:rPr>
        <w:t>EXPOSICIÓN DE MOTIVOS</w:t>
      </w:r>
    </w:p>
    <w:p w14:paraId="06F70349" w14:textId="77777777" w:rsidR="00A0581F" w:rsidRPr="00DC2ED9" w:rsidRDefault="00A0581F" w:rsidP="00A0581F">
      <w:pPr>
        <w:pStyle w:val="Encabezado"/>
        <w:rPr>
          <w:b/>
          <w:bCs/>
          <w:sz w:val="24"/>
          <w:szCs w:val="24"/>
        </w:rPr>
      </w:pPr>
    </w:p>
    <w:p w14:paraId="4D45CC4E" w14:textId="77777777" w:rsidR="00A0581F" w:rsidRPr="00DC2ED9" w:rsidRDefault="00A0581F" w:rsidP="00A0581F">
      <w:pPr>
        <w:pStyle w:val="Encabezado"/>
        <w:jc w:val="center"/>
        <w:rPr>
          <w:b/>
          <w:bCs/>
          <w:sz w:val="24"/>
          <w:szCs w:val="24"/>
        </w:rPr>
      </w:pPr>
      <w:r w:rsidRPr="00DC2ED9">
        <w:rPr>
          <w:b/>
          <w:bCs/>
          <w:sz w:val="24"/>
          <w:szCs w:val="24"/>
        </w:rPr>
        <w:t>Proyecto de Decreto</w:t>
      </w:r>
    </w:p>
    <w:p w14:paraId="09BB9C70" w14:textId="77777777" w:rsidR="00A0581F" w:rsidRPr="00DC2ED9" w:rsidRDefault="00A0581F" w:rsidP="00A0581F">
      <w:pPr>
        <w:pStyle w:val="Encabezado"/>
        <w:jc w:val="center"/>
        <w:rPr>
          <w:b/>
          <w:bCs/>
          <w:sz w:val="24"/>
          <w:szCs w:val="24"/>
        </w:rPr>
      </w:pPr>
    </w:p>
    <w:p w14:paraId="7D6D2ED4" w14:textId="77777777" w:rsidR="00A0581F" w:rsidRPr="00DC2ED9" w:rsidRDefault="00A0581F" w:rsidP="00A0581F">
      <w:pPr>
        <w:spacing w:before="100" w:after="100"/>
        <w:jc w:val="center"/>
        <w:rPr>
          <w:b/>
          <w:bCs/>
          <w:i/>
          <w:sz w:val="24"/>
          <w:szCs w:val="24"/>
        </w:rPr>
      </w:pPr>
      <w:r w:rsidRPr="00DC2ED9">
        <w:rPr>
          <w:b/>
          <w:bCs/>
          <w:i/>
          <w:sz w:val="24"/>
          <w:szCs w:val="24"/>
        </w:rPr>
        <w:t xml:space="preserve">“Por medio del cual se determina, para el Distrito Capital de Bogotá, el porcentaje de incremento de los avalúos catastrales de conservación </w:t>
      </w:r>
      <w:r w:rsidR="00B7119A">
        <w:rPr>
          <w:b/>
          <w:bCs/>
          <w:i/>
          <w:sz w:val="24"/>
          <w:szCs w:val="24"/>
        </w:rPr>
        <w:t>para el año 2020</w:t>
      </w:r>
      <w:r w:rsidRPr="00DC2ED9">
        <w:rPr>
          <w:b/>
          <w:bCs/>
          <w:i/>
          <w:sz w:val="24"/>
          <w:szCs w:val="24"/>
        </w:rPr>
        <w:t>”</w:t>
      </w:r>
    </w:p>
    <w:p w14:paraId="60AA796B" w14:textId="77777777" w:rsidR="00A0581F" w:rsidRDefault="00A0581F" w:rsidP="00A0581F">
      <w:pPr>
        <w:pStyle w:val="Encabezado"/>
        <w:rPr>
          <w:b/>
          <w:bCs/>
          <w:color w:val="000000"/>
          <w:sz w:val="24"/>
          <w:szCs w:val="24"/>
        </w:rPr>
      </w:pPr>
    </w:p>
    <w:p w14:paraId="1283C435" w14:textId="77777777" w:rsidR="00F3587C" w:rsidRPr="00DC2ED9" w:rsidRDefault="00F3587C" w:rsidP="00A0581F">
      <w:pPr>
        <w:pStyle w:val="Encabezado"/>
        <w:rPr>
          <w:b/>
          <w:bCs/>
          <w:color w:val="000000"/>
          <w:sz w:val="24"/>
          <w:szCs w:val="24"/>
        </w:rPr>
      </w:pPr>
    </w:p>
    <w:p w14:paraId="0700E833" w14:textId="77777777" w:rsidR="00A0581F" w:rsidRPr="00DC2ED9" w:rsidRDefault="00A0581F" w:rsidP="009B6B77">
      <w:pPr>
        <w:numPr>
          <w:ilvl w:val="0"/>
          <w:numId w:val="3"/>
        </w:numPr>
        <w:ind w:left="567" w:right="-518" w:hanging="567"/>
        <w:jc w:val="both"/>
        <w:rPr>
          <w:rFonts w:eastAsia="Calibri"/>
          <w:b/>
          <w:bCs/>
          <w:smallCaps/>
          <w:sz w:val="24"/>
          <w:szCs w:val="24"/>
          <w:lang w:val="es-CO" w:eastAsia="en-US"/>
        </w:rPr>
      </w:pPr>
      <w:r w:rsidRPr="00DC2ED9">
        <w:rPr>
          <w:rFonts w:eastAsia="Calibri"/>
          <w:b/>
          <w:bCs/>
          <w:smallCaps/>
          <w:sz w:val="24"/>
          <w:szCs w:val="24"/>
          <w:lang w:val="es-CO" w:eastAsia="en-US"/>
        </w:rPr>
        <w:t>Objeto del Proyecto</w:t>
      </w:r>
    </w:p>
    <w:p w14:paraId="48D89656" w14:textId="77777777" w:rsidR="00A0581F" w:rsidRPr="00DC2ED9" w:rsidRDefault="00A0581F" w:rsidP="00A0581F">
      <w:pPr>
        <w:jc w:val="both"/>
        <w:rPr>
          <w:rFonts w:eastAsia="Calibri"/>
          <w:sz w:val="24"/>
          <w:szCs w:val="24"/>
          <w:lang w:val="es-CO" w:eastAsia="en-US"/>
        </w:rPr>
      </w:pPr>
    </w:p>
    <w:p w14:paraId="380C48B8" w14:textId="4B00D2C0" w:rsidR="00A0581F" w:rsidRPr="00DC2ED9" w:rsidRDefault="00A0581F" w:rsidP="00A0581F">
      <w:pPr>
        <w:jc w:val="both"/>
        <w:rPr>
          <w:rFonts w:eastAsia="Calibri"/>
          <w:sz w:val="24"/>
          <w:szCs w:val="24"/>
          <w:lang w:val="es-CO" w:eastAsia="en-US"/>
        </w:rPr>
      </w:pPr>
      <w:r w:rsidRPr="00DC2ED9">
        <w:rPr>
          <w:rFonts w:eastAsia="Calibri"/>
          <w:sz w:val="24"/>
          <w:szCs w:val="24"/>
          <w:lang w:val="es-CO" w:eastAsia="en-US"/>
        </w:rPr>
        <w:t xml:space="preserve">Determinar los porcentajes de incremento de </w:t>
      </w:r>
      <w:r w:rsidR="009B6B77">
        <w:rPr>
          <w:rFonts w:eastAsia="Calibri"/>
          <w:sz w:val="24"/>
          <w:szCs w:val="24"/>
          <w:lang w:val="es-CO" w:eastAsia="en-US"/>
        </w:rPr>
        <w:t xml:space="preserve">los </w:t>
      </w:r>
      <w:r w:rsidRPr="00DC2ED9">
        <w:rPr>
          <w:rFonts w:eastAsia="Calibri"/>
          <w:sz w:val="24"/>
          <w:szCs w:val="24"/>
          <w:lang w:val="es-CO" w:eastAsia="en-US"/>
        </w:rPr>
        <w:t>avalúos catastrales de conservación de los predios d</w:t>
      </w:r>
      <w:r w:rsidR="00B7119A">
        <w:rPr>
          <w:rFonts w:eastAsia="Calibri"/>
          <w:sz w:val="24"/>
          <w:szCs w:val="24"/>
          <w:lang w:val="es-CO" w:eastAsia="en-US"/>
        </w:rPr>
        <w:t>el Distrito</w:t>
      </w:r>
      <w:r w:rsidR="00DE1ADE">
        <w:rPr>
          <w:rFonts w:eastAsia="Calibri"/>
          <w:sz w:val="24"/>
          <w:szCs w:val="24"/>
          <w:lang w:val="es-CO" w:eastAsia="en-US"/>
        </w:rPr>
        <w:t xml:space="preserve"> Capital</w:t>
      </w:r>
      <w:r w:rsidR="00B7119A">
        <w:rPr>
          <w:rFonts w:eastAsia="Calibri"/>
          <w:sz w:val="24"/>
          <w:szCs w:val="24"/>
          <w:lang w:val="es-CO" w:eastAsia="en-US"/>
        </w:rPr>
        <w:t xml:space="preserve"> para la vigencia 2020</w:t>
      </w:r>
      <w:r w:rsidRPr="00DC2ED9">
        <w:rPr>
          <w:rFonts w:eastAsia="Calibri"/>
          <w:sz w:val="24"/>
          <w:szCs w:val="24"/>
          <w:lang w:val="es-CO" w:eastAsia="en-US"/>
        </w:rPr>
        <w:t>. Lo anterior, en plena observancia de lo prescrito por el artículo 3</w:t>
      </w:r>
      <w:r w:rsidR="009B6B77">
        <w:rPr>
          <w:rFonts w:eastAsia="Calibri"/>
          <w:sz w:val="24"/>
          <w:szCs w:val="24"/>
          <w:lang w:val="es-CO" w:eastAsia="en-US"/>
        </w:rPr>
        <w:t>o</w:t>
      </w:r>
      <w:r w:rsidRPr="00DC2ED9">
        <w:rPr>
          <w:rFonts w:eastAsia="Calibri"/>
          <w:sz w:val="24"/>
          <w:szCs w:val="24"/>
          <w:lang w:val="es-CO" w:eastAsia="en-US"/>
        </w:rPr>
        <w:t xml:space="preserve"> de la Ley 601 de 2000. Dicha disposición ordena al Gobierno Distrital determinar anualmente el porcentaje de reajuste de los avalúos catastrales de conservación de los predios de Bogotá. El porcentaje debe ser determinado conforme con los índices de valoración inmobiliaria urbana y rural aprobados por el Consejo Distrital de Política Económica y Fiscal -CONFIS-.</w:t>
      </w:r>
    </w:p>
    <w:p w14:paraId="4A4E8EC3" w14:textId="77777777" w:rsidR="00A0581F" w:rsidRDefault="00A0581F" w:rsidP="00A0581F">
      <w:pPr>
        <w:jc w:val="both"/>
        <w:rPr>
          <w:rFonts w:eastAsia="Calibri"/>
          <w:sz w:val="24"/>
          <w:szCs w:val="24"/>
          <w:lang w:val="es-CO" w:eastAsia="en-US"/>
        </w:rPr>
      </w:pPr>
    </w:p>
    <w:p w14:paraId="640AD19C" w14:textId="77777777" w:rsidR="00F3587C" w:rsidRPr="00DC2ED9" w:rsidRDefault="00F3587C" w:rsidP="00A0581F">
      <w:pPr>
        <w:jc w:val="both"/>
        <w:rPr>
          <w:rFonts w:eastAsia="Calibri"/>
          <w:sz w:val="24"/>
          <w:szCs w:val="24"/>
          <w:lang w:val="es-CO" w:eastAsia="en-US"/>
        </w:rPr>
      </w:pPr>
    </w:p>
    <w:p w14:paraId="42C7B977" w14:textId="77777777" w:rsidR="00A0581F" w:rsidRPr="00DC2ED9" w:rsidRDefault="00A0581F" w:rsidP="009B6B77">
      <w:pPr>
        <w:numPr>
          <w:ilvl w:val="0"/>
          <w:numId w:val="3"/>
        </w:numPr>
        <w:ind w:left="567" w:hanging="567"/>
        <w:jc w:val="both"/>
        <w:rPr>
          <w:rFonts w:eastAsia="Calibri"/>
          <w:b/>
          <w:bCs/>
          <w:smallCaps/>
          <w:sz w:val="24"/>
          <w:szCs w:val="24"/>
          <w:lang w:val="es-CO" w:eastAsia="en-US"/>
        </w:rPr>
      </w:pPr>
      <w:r w:rsidRPr="00DC2ED9">
        <w:rPr>
          <w:rFonts w:eastAsia="Calibri"/>
          <w:b/>
          <w:bCs/>
          <w:smallCaps/>
          <w:sz w:val="24"/>
          <w:szCs w:val="24"/>
          <w:lang w:val="es-CO" w:eastAsia="en-US"/>
        </w:rPr>
        <w:t>Sustento Jurídico</w:t>
      </w:r>
    </w:p>
    <w:p w14:paraId="0322CFEB" w14:textId="77777777" w:rsidR="00A0581F" w:rsidRDefault="00A0581F" w:rsidP="00A0581F">
      <w:pPr>
        <w:jc w:val="both"/>
        <w:rPr>
          <w:rFonts w:eastAsia="Calibri"/>
          <w:sz w:val="24"/>
          <w:szCs w:val="24"/>
          <w:lang w:val="es-CO" w:eastAsia="en-US"/>
        </w:rPr>
      </w:pPr>
    </w:p>
    <w:p w14:paraId="52BE7B16" w14:textId="77777777" w:rsidR="00F3587C" w:rsidRPr="00DC2ED9" w:rsidRDefault="00F3587C" w:rsidP="00A0581F">
      <w:pPr>
        <w:jc w:val="both"/>
        <w:rPr>
          <w:rFonts w:eastAsia="Calibri"/>
          <w:sz w:val="24"/>
          <w:szCs w:val="24"/>
          <w:lang w:val="es-CO" w:eastAsia="en-US"/>
        </w:rPr>
      </w:pPr>
    </w:p>
    <w:p w14:paraId="698F1AFF" w14:textId="77777777" w:rsidR="00A0581F" w:rsidRPr="00DC2ED9" w:rsidRDefault="00A0581F" w:rsidP="009B6B77">
      <w:pPr>
        <w:numPr>
          <w:ilvl w:val="1"/>
          <w:numId w:val="3"/>
        </w:numPr>
        <w:ind w:left="567" w:hanging="567"/>
        <w:jc w:val="both"/>
        <w:rPr>
          <w:rFonts w:eastAsia="Calibri"/>
          <w:b/>
          <w:bCs/>
          <w:sz w:val="24"/>
          <w:szCs w:val="24"/>
          <w:lang w:val="es-CO" w:eastAsia="en-US"/>
        </w:rPr>
      </w:pPr>
      <w:r w:rsidRPr="00DC2ED9">
        <w:rPr>
          <w:rFonts w:eastAsia="Calibri"/>
          <w:b/>
          <w:bCs/>
          <w:sz w:val="24"/>
          <w:szCs w:val="24"/>
          <w:lang w:val="es-CO" w:eastAsia="en-US"/>
        </w:rPr>
        <w:t>Marco normativo</w:t>
      </w:r>
    </w:p>
    <w:p w14:paraId="320BA46C" w14:textId="77777777" w:rsidR="00A0581F" w:rsidRPr="00DC2ED9" w:rsidRDefault="00A0581F" w:rsidP="00A0581F">
      <w:pPr>
        <w:jc w:val="both"/>
        <w:rPr>
          <w:rFonts w:eastAsia="Calibri"/>
          <w:b/>
          <w:bCs/>
          <w:sz w:val="24"/>
          <w:szCs w:val="24"/>
          <w:lang w:val="es-CO" w:eastAsia="en-US"/>
        </w:rPr>
      </w:pPr>
    </w:p>
    <w:p w14:paraId="03AF906A" w14:textId="77777777" w:rsidR="00A0581F" w:rsidRPr="00DC2ED9" w:rsidRDefault="00A0581F" w:rsidP="00A0581F">
      <w:pPr>
        <w:jc w:val="both"/>
        <w:rPr>
          <w:rFonts w:eastAsia="Calibri"/>
          <w:b/>
          <w:bCs/>
          <w:sz w:val="24"/>
          <w:szCs w:val="24"/>
          <w:lang w:val="es-CO" w:eastAsia="en-US"/>
        </w:rPr>
      </w:pPr>
      <w:r w:rsidRPr="00DC2ED9">
        <w:rPr>
          <w:rFonts w:eastAsia="Calibri"/>
          <w:b/>
          <w:bCs/>
          <w:sz w:val="24"/>
          <w:szCs w:val="24"/>
          <w:lang w:val="es-CO" w:eastAsia="en-US"/>
        </w:rPr>
        <w:t xml:space="preserve">Decreto Ley 1421 de 1993. </w:t>
      </w:r>
      <w:r w:rsidRPr="00DC2ED9">
        <w:rPr>
          <w:rFonts w:eastAsia="Calibri"/>
          <w:sz w:val="24"/>
          <w:szCs w:val="24"/>
          <w:lang w:val="es-CO" w:eastAsia="es-CO"/>
        </w:rPr>
        <w:t>Por el cual se dicta el régimen especial para el Distrito Capital de Bogotá.</w:t>
      </w:r>
    </w:p>
    <w:p w14:paraId="0143E96F" w14:textId="77777777" w:rsidR="00A0581F" w:rsidRPr="00DC2ED9" w:rsidRDefault="00A0581F" w:rsidP="00A0581F">
      <w:pPr>
        <w:jc w:val="both"/>
        <w:rPr>
          <w:rFonts w:eastAsia="Calibri"/>
          <w:b/>
          <w:bCs/>
          <w:sz w:val="24"/>
          <w:szCs w:val="24"/>
          <w:lang w:val="es-CO" w:eastAsia="en-US"/>
        </w:rPr>
      </w:pPr>
    </w:p>
    <w:p w14:paraId="255F0046" w14:textId="77777777" w:rsidR="00A0581F" w:rsidRPr="00DC2ED9" w:rsidRDefault="00A0581F" w:rsidP="00A0581F">
      <w:pPr>
        <w:jc w:val="both"/>
        <w:rPr>
          <w:rFonts w:eastAsia="Calibri"/>
          <w:b/>
          <w:bCs/>
          <w:sz w:val="24"/>
          <w:szCs w:val="24"/>
          <w:lang w:val="es-CO" w:eastAsia="en-US"/>
        </w:rPr>
      </w:pPr>
      <w:r w:rsidRPr="00DC2ED9">
        <w:rPr>
          <w:rFonts w:eastAsia="Calibri"/>
          <w:b/>
          <w:bCs/>
          <w:sz w:val="24"/>
          <w:szCs w:val="24"/>
          <w:lang w:val="es-CO" w:eastAsia="en-US"/>
        </w:rPr>
        <w:t>Artículo 135.</w:t>
      </w:r>
      <w:r w:rsidRPr="00DC2ED9">
        <w:rPr>
          <w:rFonts w:eastAsia="Calibri"/>
          <w:sz w:val="24"/>
          <w:szCs w:val="24"/>
          <w:lang w:val="es-CO" w:eastAsia="en-US"/>
        </w:rPr>
        <w:t xml:space="preserve"> Creación del CONFIS.</w:t>
      </w:r>
    </w:p>
    <w:p w14:paraId="489A32B4" w14:textId="77777777" w:rsidR="00A0581F" w:rsidRPr="00DC2ED9" w:rsidRDefault="00A0581F" w:rsidP="00A0581F">
      <w:pPr>
        <w:ind w:left="1728"/>
        <w:jc w:val="both"/>
        <w:rPr>
          <w:rFonts w:eastAsia="Calibri"/>
          <w:b/>
          <w:bCs/>
          <w:sz w:val="24"/>
          <w:szCs w:val="24"/>
          <w:lang w:val="es-CO" w:eastAsia="en-US"/>
        </w:rPr>
      </w:pPr>
    </w:p>
    <w:p w14:paraId="5E980E59" w14:textId="77777777" w:rsidR="00A0581F" w:rsidRPr="00DC2ED9" w:rsidRDefault="00A0581F" w:rsidP="00A0581F">
      <w:pPr>
        <w:jc w:val="both"/>
        <w:rPr>
          <w:rFonts w:eastAsia="Calibri"/>
          <w:b/>
          <w:bCs/>
          <w:sz w:val="24"/>
          <w:szCs w:val="24"/>
          <w:lang w:val="es-CO" w:eastAsia="en-US"/>
        </w:rPr>
      </w:pPr>
      <w:r w:rsidRPr="00DC2ED9">
        <w:rPr>
          <w:rFonts w:eastAsia="Calibri"/>
          <w:b/>
          <w:bCs/>
          <w:sz w:val="24"/>
          <w:szCs w:val="24"/>
          <w:lang w:val="es-CO" w:eastAsia="en-US"/>
        </w:rPr>
        <w:t>Ley 601 de 2000.</w:t>
      </w:r>
      <w:r w:rsidRPr="00DC2ED9">
        <w:rPr>
          <w:rFonts w:eastAsia="Calibri"/>
          <w:sz w:val="24"/>
          <w:szCs w:val="24"/>
          <w:lang w:val="es-CO" w:eastAsia="en-US"/>
        </w:rPr>
        <w:t xml:space="preserve"> Por la cual se concede una autorización a los contribuyentes del Impuesto Predial Unificado en el Distrito Capital.</w:t>
      </w:r>
    </w:p>
    <w:p w14:paraId="0A6B6485" w14:textId="77777777" w:rsidR="00A0581F" w:rsidRPr="00DC2ED9" w:rsidRDefault="00A0581F" w:rsidP="00A0581F">
      <w:pPr>
        <w:jc w:val="both"/>
        <w:rPr>
          <w:rFonts w:eastAsia="Calibri"/>
          <w:b/>
          <w:bCs/>
          <w:sz w:val="24"/>
          <w:szCs w:val="24"/>
          <w:lang w:val="es-CO" w:eastAsia="en-US"/>
        </w:rPr>
      </w:pPr>
    </w:p>
    <w:p w14:paraId="54FC0347" w14:textId="3D9AE51B" w:rsidR="00A0581F" w:rsidRDefault="00A0581F" w:rsidP="00A0581F">
      <w:pPr>
        <w:jc w:val="both"/>
        <w:rPr>
          <w:rFonts w:eastAsia="Calibri"/>
          <w:sz w:val="24"/>
          <w:szCs w:val="24"/>
          <w:lang w:val="es-CO" w:eastAsia="en-US"/>
        </w:rPr>
      </w:pPr>
      <w:r w:rsidRPr="00DC2ED9">
        <w:rPr>
          <w:rFonts w:eastAsia="Calibri"/>
          <w:b/>
          <w:bCs/>
          <w:sz w:val="24"/>
          <w:szCs w:val="24"/>
          <w:lang w:val="es-CO" w:eastAsia="en-US"/>
        </w:rPr>
        <w:t xml:space="preserve">Artículo 3. </w:t>
      </w:r>
      <w:r w:rsidRPr="00DC2ED9">
        <w:rPr>
          <w:rFonts w:eastAsia="Calibri"/>
          <w:sz w:val="24"/>
          <w:szCs w:val="24"/>
          <w:lang w:val="es-CO" w:eastAsia="en-US"/>
        </w:rPr>
        <w:t xml:space="preserve">Competencia del </w:t>
      </w:r>
      <w:r w:rsidR="009B6B77">
        <w:rPr>
          <w:rFonts w:eastAsia="Calibri"/>
          <w:sz w:val="24"/>
          <w:szCs w:val="24"/>
          <w:lang w:val="es-CO" w:eastAsia="en-US"/>
        </w:rPr>
        <w:t>G</w:t>
      </w:r>
      <w:r w:rsidRPr="00DC2ED9">
        <w:rPr>
          <w:rFonts w:eastAsia="Calibri"/>
          <w:sz w:val="24"/>
          <w:szCs w:val="24"/>
          <w:lang w:val="es-CO" w:eastAsia="en-US"/>
        </w:rPr>
        <w:t>obierno Distrital para determinar los porcentajes de incremento de avalúos catastrales de conservación.</w:t>
      </w:r>
    </w:p>
    <w:p w14:paraId="28D14ED2" w14:textId="77777777" w:rsidR="00F3587C" w:rsidRPr="00DC2ED9" w:rsidRDefault="00F3587C" w:rsidP="00A0581F">
      <w:pPr>
        <w:jc w:val="both"/>
        <w:rPr>
          <w:rFonts w:eastAsia="Calibri"/>
          <w:b/>
          <w:bCs/>
          <w:sz w:val="24"/>
          <w:szCs w:val="24"/>
          <w:lang w:val="es-CO" w:eastAsia="en-US"/>
        </w:rPr>
      </w:pPr>
    </w:p>
    <w:p w14:paraId="6316A723" w14:textId="77777777" w:rsidR="00A0581F" w:rsidRDefault="00A0581F" w:rsidP="00DE1ADE">
      <w:pPr>
        <w:ind w:left="567" w:hanging="567"/>
        <w:jc w:val="both"/>
        <w:rPr>
          <w:rFonts w:eastAsia="Calibri"/>
          <w:b/>
          <w:bCs/>
          <w:sz w:val="24"/>
          <w:szCs w:val="24"/>
          <w:lang w:val="es-CO" w:eastAsia="en-US"/>
        </w:rPr>
      </w:pPr>
    </w:p>
    <w:p w14:paraId="316DD3D6" w14:textId="77777777" w:rsidR="00F3587C" w:rsidRDefault="00F3587C" w:rsidP="00DE1ADE">
      <w:pPr>
        <w:ind w:left="567" w:hanging="567"/>
        <w:jc w:val="both"/>
        <w:rPr>
          <w:rFonts w:eastAsia="Calibri"/>
          <w:b/>
          <w:bCs/>
          <w:sz w:val="24"/>
          <w:szCs w:val="24"/>
          <w:lang w:val="es-CO" w:eastAsia="en-US"/>
        </w:rPr>
      </w:pPr>
    </w:p>
    <w:p w14:paraId="5D647E0D" w14:textId="77777777" w:rsidR="00F3587C" w:rsidRDefault="00F3587C" w:rsidP="00DE1ADE">
      <w:pPr>
        <w:ind w:left="567" w:hanging="567"/>
        <w:jc w:val="both"/>
        <w:rPr>
          <w:rFonts w:eastAsia="Calibri"/>
          <w:b/>
          <w:bCs/>
          <w:sz w:val="24"/>
          <w:szCs w:val="24"/>
          <w:lang w:val="es-CO" w:eastAsia="en-US"/>
        </w:rPr>
      </w:pPr>
    </w:p>
    <w:p w14:paraId="7084CBFD" w14:textId="77777777" w:rsidR="00F3587C" w:rsidRPr="00DC2ED9" w:rsidRDefault="00F3587C" w:rsidP="00DE1ADE">
      <w:pPr>
        <w:ind w:left="567" w:hanging="567"/>
        <w:jc w:val="both"/>
        <w:rPr>
          <w:rFonts w:eastAsia="Calibri"/>
          <w:b/>
          <w:bCs/>
          <w:sz w:val="24"/>
          <w:szCs w:val="24"/>
          <w:lang w:val="es-CO" w:eastAsia="en-US"/>
        </w:rPr>
      </w:pPr>
    </w:p>
    <w:p w14:paraId="7716DC94" w14:textId="77777777" w:rsidR="00A0581F" w:rsidRPr="00DC2ED9" w:rsidRDefault="00A0581F" w:rsidP="00DE1ADE">
      <w:pPr>
        <w:numPr>
          <w:ilvl w:val="1"/>
          <w:numId w:val="3"/>
        </w:numPr>
        <w:ind w:left="567" w:hanging="567"/>
        <w:jc w:val="both"/>
        <w:rPr>
          <w:rFonts w:eastAsia="Calibri"/>
          <w:b/>
          <w:bCs/>
          <w:sz w:val="24"/>
          <w:szCs w:val="24"/>
          <w:lang w:val="es-CO" w:eastAsia="en-US"/>
        </w:rPr>
      </w:pPr>
      <w:r w:rsidRPr="00DC2ED9">
        <w:rPr>
          <w:rFonts w:eastAsia="Calibri"/>
          <w:b/>
          <w:bCs/>
          <w:sz w:val="24"/>
          <w:szCs w:val="24"/>
          <w:lang w:val="es-CO" w:eastAsia="en-US"/>
        </w:rPr>
        <w:t>Competencia del Alcalde Mayor y del Sector Hacienda</w:t>
      </w:r>
    </w:p>
    <w:p w14:paraId="43190510" w14:textId="77777777" w:rsidR="00A0581F" w:rsidRPr="00DC2ED9" w:rsidRDefault="00A0581F" w:rsidP="00A0581F">
      <w:pPr>
        <w:jc w:val="both"/>
        <w:rPr>
          <w:rFonts w:eastAsia="Calibri"/>
          <w:sz w:val="24"/>
          <w:szCs w:val="24"/>
          <w:lang w:val="es-CO" w:eastAsia="en-US"/>
        </w:rPr>
      </w:pPr>
    </w:p>
    <w:p w14:paraId="31E414D9" w14:textId="79A1DFC5" w:rsidR="00A0581F" w:rsidRPr="00DC2ED9" w:rsidRDefault="00A0581F" w:rsidP="00A0581F">
      <w:pPr>
        <w:jc w:val="both"/>
        <w:rPr>
          <w:rFonts w:eastAsia="Calibri"/>
          <w:sz w:val="24"/>
          <w:szCs w:val="24"/>
          <w:lang w:val="es-CO" w:eastAsia="es-CO"/>
        </w:rPr>
      </w:pPr>
      <w:r w:rsidRPr="00DC2ED9">
        <w:rPr>
          <w:rFonts w:eastAsia="Calibri"/>
          <w:sz w:val="24"/>
          <w:szCs w:val="24"/>
          <w:lang w:val="es-CO" w:eastAsia="en-US"/>
        </w:rPr>
        <w:t>De conformidad con el numeral 1 del artículo 38 del Decreto Ley 1421 de 1993, corresponde al Alcalde Mayor h</w:t>
      </w:r>
      <w:r w:rsidRPr="00DC2ED9">
        <w:rPr>
          <w:rFonts w:eastAsia="Calibri"/>
          <w:sz w:val="24"/>
          <w:szCs w:val="24"/>
          <w:lang w:val="es-CO" w:eastAsia="es-CO"/>
        </w:rPr>
        <w:t>acer cumplir la Constitución, la ley, los decretos del Gobierno Nacional y los acuerdos del Concejo. Uno de los medios eficaces para el cumplimiento de tal función, es la expedición de decretos distritales. El presente decreto tiene por objetivo materializar una disposición presente en una ley de la República (Art. 3</w:t>
      </w:r>
      <w:r w:rsidR="009B6B77">
        <w:rPr>
          <w:rFonts w:eastAsia="Calibri"/>
          <w:sz w:val="24"/>
          <w:szCs w:val="24"/>
          <w:lang w:val="es-CO" w:eastAsia="es-CO"/>
        </w:rPr>
        <w:t xml:space="preserve"> de la </w:t>
      </w:r>
      <w:r w:rsidRPr="00DC2ED9">
        <w:rPr>
          <w:rFonts w:eastAsia="Calibri"/>
          <w:sz w:val="24"/>
          <w:szCs w:val="24"/>
          <w:lang w:val="es-CO" w:eastAsia="es-CO"/>
        </w:rPr>
        <w:t>L</w:t>
      </w:r>
      <w:r w:rsidR="009B6B77">
        <w:rPr>
          <w:rFonts w:eastAsia="Calibri"/>
          <w:sz w:val="24"/>
          <w:szCs w:val="24"/>
          <w:lang w:val="es-CO" w:eastAsia="es-CO"/>
        </w:rPr>
        <w:t xml:space="preserve">ey </w:t>
      </w:r>
      <w:r w:rsidRPr="00DC2ED9">
        <w:rPr>
          <w:rFonts w:eastAsia="Calibri"/>
          <w:sz w:val="24"/>
          <w:szCs w:val="24"/>
          <w:lang w:val="es-CO" w:eastAsia="es-CO"/>
        </w:rPr>
        <w:t>601/2000)</w:t>
      </w:r>
    </w:p>
    <w:p w14:paraId="1600A11A" w14:textId="77777777" w:rsidR="00A0581F" w:rsidRPr="003108B3" w:rsidRDefault="00A0581F" w:rsidP="00A0581F">
      <w:pPr>
        <w:jc w:val="both"/>
        <w:rPr>
          <w:rFonts w:ascii="Arial" w:eastAsia="Calibri" w:hAnsi="Arial" w:cs="Arial"/>
          <w:sz w:val="24"/>
          <w:szCs w:val="24"/>
          <w:lang w:val="es-CO" w:eastAsia="es-CO"/>
        </w:rPr>
      </w:pPr>
    </w:p>
    <w:p w14:paraId="313114E0" w14:textId="77777777" w:rsidR="009B6B77" w:rsidRDefault="00A0581F" w:rsidP="00A0581F">
      <w:pPr>
        <w:jc w:val="both"/>
        <w:rPr>
          <w:rFonts w:eastAsia="Calibri"/>
          <w:i/>
          <w:sz w:val="24"/>
          <w:szCs w:val="24"/>
          <w:lang w:val="es-CO" w:eastAsia="en-US"/>
        </w:rPr>
      </w:pPr>
      <w:r w:rsidRPr="00D92A78">
        <w:rPr>
          <w:rFonts w:eastAsia="Calibri"/>
          <w:sz w:val="24"/>
          <w:szCs w:val="24"/>
          <w:lang w:val="es-CO" w:eastAsia="en-US"/>
        </w:rPr>
        <w:t>La Ley 601 de 2000</w:t>
      </w:r>
      <w:r w:rsidRPr="00D92A78">
        <w:rPr>
          <w:rFonts w:eastAsia="Calibri"/>
          <w:sz w:val="24"/>
          <w:szCs w:val="24"/>
          <w:vertAlign w:val="superscript"/>
          <w:lang w:val="es-CO" w:eastAsia="en-US"/>
        </w:rPr>
        <w:footnoteReference w:id="1"/>
      </w:r>
      <w:r w:rsidRPr="00D92A78">
        <w:rPr>
          <w:rFonts w:eastAsia="Calibri"/>
          <w:sz w:val="24"/>
          <w:szCs w:val="24"/>
          <w:lang w:val="es-CO" w:eastAsia="en-US"/>
        </w:rPr>
        <w:t xml:space="preserve"> es la disposición habilitante para efectos del objetivo del presente Decreto. De acuerdo con el artículo 3</w:t>
      </w:r>
      <w:r w:rsidR="009B6B77">
        <w:rPr>
          <w:rFonts w:eastAsia="Calibri"/>
          <w:sz w:val="24"/>
          <w:szCs w:val="24"/>
          <w:lang w:val="es-CO" w:eastAsia="en-US"/>
        </w:rPr>
        <w:t>o</w:t>
      </w:r>
      <w:r w:rsidRPr="00D92A78">
        <w:rPr>
          <w:rFonts w:eastAsia="Calibri"/>
          <w:sz w:val="24"/>
          <w:szCs w:val="24"/>
          <w:lang w:val="es-CO" w:eastAsia="en-US"/>
        </w:rPr>
        <w:t xml:space="preserve"> de la mencionada Ley, </w:t>
      </w:r>
      <w:r w:rsidRPr="00D92A78">
        <w:rPr>
          <w:rFonts w:eastAsia="Calibri"/>
          <w:i/>
          <w:sz w:val="24"/>
          <w:szCs w:val="24"/>
          <w:lang w:val="es-CO" w:eastAsia="en-US"/>
        </w:rPr>
        <w:t xml:space="preserve">“los avalúos catastrales de conservación se reajustarán anualmente en el porcentaje que determine y publique el Gobierno Distrital en el mes de diciembre de cada año, de acuerdo con los índices de valoración inmobiliaria urbana y rural, previo concepto del Consejo de Política Económica y Fiscal – CONFIS- del periodo comprendido entre el primero de septiembre del respectivo año y la misma fecha del año anterior”. </w:t>
      </w:r>
    </w:p>
    <w:p w14:paraId="42FA9238" w14:textId="77777777" w:rsidR="009B6B77" w:rsidRDefault="009B6B77" w:rsidP="00A0581F">
      <w:pPr>
        <w:jc w:val="both"/>
        <w:rPr>
          <w:rFonts w:eastAsia="Calibri"/>
          <w:i/>
          <w:sz w:val="24"/>
          <w:szCs w:val="24"/>
          <w:lang w:val="es-CO" w:eastAsia="en-US"/>
        </w:rPr>
      </w:pPr>
    </w:p>
    <w:p w14:paraId="21C834B4" w14:textId="2373291A" w:rsidR="00A0581F" w:rsidRPr="00D92A78" w:rsidRDefault="00A0581F" w:rsidP="00A0581F">
      <w:pPr>
        <w:jc w:val="both"/>
        <w:rPr>
          <w:rFonts w:eastAsia="Calibri"/>
          <w:sz w:val="24"/>
          <w:szCs w:val="24"/>
          <w:lang w:val="es-CO" w:eastAsia="en-US"/>
        </w:rPr>
      </w:pPr>
      <w:r w:rsidRPr="00D92A78">
        <w:rPr>
          <w:rFonts w:eastAsia="Calibri"/>
          <w:sz w:val="24"/>
          <w:szCs w:val="24"/>
          <w:lang w:val="es-CO" w:eastAsia="en-US"/>
        </w:rPr>
        <w:t xml:space="preserve">Tras la lectura de la disposición anteriormente transcrita, se puede concluir que el Alcalde Mayor queda plenamente habilitado para expedir el presente Decreto, una vez el CONFIS emita el concepto previo respectivo. Tal concepto fue emitido en la sesión del </w:t>
      </w:r>
      <w:r w:rsidR="003A2C14">
        <w:rPr>
          <w:rFonts w:eastAsia="Calibri"/>
          <w:sz w:val="24"/>
          <w:szCs w:val="24"/>
          <w:lang w:val="es-CO" w:eastAsia="en-US"/>
        </w:rPr>
        <w:t>10</w:t>
      </w:r>
      <w:r w:rsidR="003A2C14" w:rsidRPr="00D92A78">
        <w:rPr>
          <w:rFonts w:eastAsia="Calibri"/>
          <w:sz w:val="24"/>
          <w:szCs w:val="24"/>
          <w:lang w:val="es-CO" w:eastAsia="en-US"/>
        </w:rPr>
        <w:t xml:space="preserve"> </w:t>
      </w:r>
      <w:r w:rsidRPr="00D92A78">
        <w:rPr>
          <w:rFonts w:eastAsia="Calibri"/>
          <w:sz w:val="24"/>
          <w:szCs w:val="24"/>
          <w:lang w:val="es-CO" w:eastAsia="en-US"/>
        </w:rPr>
        <w:t>de diciembre de 201</w:t>
      </w:r>
      <w:r w:rsidR="00DE1ADE">
        <w:rPr>
          <w:rFonts w:eastAsia="Calibri"/>
          <w:sz w:val="24"/>
          <w:szCs w:val="24"/>
          <w:lang w:val="es-CO" w:eastAsia="en-US"/>
        </w:rPr>
        <w:t>9</w:t>
      </w:r>
      <w:r w:rsidR="009B6B77">
        <w:rPr>
          <w:rFonts w:eastAsia="Calibri"/>
          <w:sz w:val="24"/>
          <w:szCs w:val="24"/>
          <w:lang w:val="es-CO" w:eastAsia="en-US"/>
        </w:rPr>
        <w:t xml:space="preserve">, </w:t>
      </w:r>
      <w:r w:rsidR="003A2C14">
        <w:rPr>
          <w:rFonts w:eastAsia="Calibri"/>
          <w:sz w:val="24"/>
          <w:szCs w:val="24"/>
          <w:lang w:val="es-CO" w:eastAsia="en-US"/>
        </w:rPr>
        <w:t xml:space="preserve">según </w:t>
      </w:r>
      <w:r w:rsidR="00117324">
        <w:rPr>
          <w:rFonts w:eastAsia="Calibri"/>
          <w:sz w:val="24"/>
          <w:szCs w:val="24"/>
          <w:lang w:val="es-CO" w:eastAsia="en-US"/>
        </w:rPr>
        <w:t xml:space="preserve">oficio de la Secretaria Distrital de </w:t>
      </w:r>
      <w:r w:rsidR="00722457">
        <w:rPr>
          <w:rFonts w:eastAsia="Calibri"/>
          <w:sz w:val="24"/>
          <w:szCs w:val="24"/>
          <w:lang w:val="es-CO" w:eastAsia="en-US"/>
        </w:rPr>
        <w:t>Planeación</w:t>
      </w:r>
      <w:r w:rsidR="00117324">
        <w:rPr>
          <w:rFonts w:eastAsia="Calibri"/>
          <w:sz w:val="24"/>
          <w:szCs w:val="24"/>
          <w:lang w:val="es-CO" w:eastAsia="en-US"/>
        </w:rPr>
        <w:t xml:space="preserve"> que se anexa</w:t>
      </w:r>
      <w:r w:rsidRPr="00D92A78">
        <w:rPr>
          <w:rFonts w:eastAsia="Calibri"/>
          <w:sz w:val="24"/>
          <w:szCs w:val="24"/>
          <w:lang w:val="es-CO" w:eastAsia="en-US"/>
        </w:rPr>
        <w:t>. Por tal razón, queda verificada la competencia del señor Alcalde, para la expedición de este acto administrativo.</w:t>
      </w:r>
    </w:p>
    <w:p w14:paraId="189AA660" w14:textId="77777777" w:rsidR="00A0581F" w:rsidRPr="00D92A78" w:rsidRDefault="00A0581F" w:rsidP="00A0581F">
      <w:pPr>
        <w:jc w:val="both"/>
        <w:rPr>
          <w:rFonts w:eastAsia="Calibri"/>
          <w:sz w:val="24"/>
          <w:szCs w:val="24"/>
          <w:lang w:val="es-CO" w:eastAsia="en-US"/>
        </w:rPr>
      </w:pPr>
    </w:p>
    <w:p w14:paraId="7FED6133" w14:textId="77777777" w:rsidR="00A0581F" w:rsidRPr="00D92A78" w:rsidRDefault="00A0581F" w:rsidP="00A0581F">
      <w:pPr>
        <w:jc w:val="both"/>
        <w:rPr>
          <w:rFonts w:eastAsia="Calibri"/>
          <w:sz w:val="24"/>
          <w:szCs w:val="24"/>
          <w:lang w:val="es-CO" w:eastAsia="en-US"/>
        </w:rPr>
      </w:pPr>
      <w:r w:rsidRPr="00D92A78">
        <w:rPr>
          <w:rFonts w:eastAsia="Calibri"/>
          <w:sz w:val="24"/>
          <w:szCs w:val="24"/>
          <w:lang w:val="es-CO" w:eastAsia="en-US"/>
        </w:rPr>
        <w:t xml:space="preserve">El literal “a” del artículo 63 del Acuerdo Distrital 257 de 2006 prescribe que una de las funciones básicas de la Unidad Administrativa Especial de Catastro Distrital – UAECD-es </w:t>
      </w:r>
      <w:r w:rsidRPr="00D92A78">
        <w:rPr>
          <w:rFonts w:eastAsia="Calibri"/>
          <w:i/>
          <w:sz w:val="24"/>
          <w:szCs w:val="24"/>
          <w:lang w:val="es-CO" w:eastAsia="en-US"/>
        </w:rPr>
        <w:t>“(…) realizar, mantener y actualizar el censo catastral del Distrito Capital en sus diversos aspectos, en particular fijar el valor de los bienes inmuebles que sirve como base para la determinación de los impuestos sobre dichos bienes”.</w:t>
      </w:r>
    </w:p>
    <w:p w14:paraId="50B6E7CC" w14:textId="77777777" w:rsidR="00A0581F" w:rsidRPr="00D92A78" w:rsidRDefault="00A0581F" w:rsidP="00A0581F">
      <w:pPr>
        <w:jc w:val="both"/>
        <w:rPr>
          <w:rFonts w:eastAsia="Calibri"/>
          <w:sz w:val="24"/>
          <w:szCs w:val="24"/>
          <w:lang w:val="es-CO" w:eastAsia="en-US"/>
        </w:rPr>
      </w:pPr>
    </w:p>
    <w:p w14:paraId="13E76A22" w14:textId="77777777" w:rsidR="00A0581F" w:rsidRPr="00D92A78" w:rsidRDefault="00A0581F" w:rsidP="00A0581F">
      <w:pPr>
        <w:jc w:val="both"/>
        <w:rPr>
          <w:rFonts w:eastAsia="Calibri"/>
          <w:sz w:val="24"/>
          <w:szCs w:val="24"/>
          <w:lang w:val="es-CO" w:eastAsia="en-US"/>
        </w:rPr>
      </w:pPr>
      <w:r w:rsidRPr="00D92A78">
        <w:rPr>
          <w:rFonts w:eastAsia="Calibri"/>
          <w:sz w:val="24"/>
          <w:szCs w:val="24"/>
          <w:lang w:val="es-CO" w:eastAsia="en-US"/>
        </w:rPr>
        <w:t>En este orden de ideas, la UAECD es una Entidad adscrita a la Secretaría Distrital de Hacienda, por ende esta Secretaría es la entidad del ramo correspondiente, la cual está llamada a suscribir el futuro decreto, junto con el Alcalde Mayor. Igualmente, la competencia de la Secretaría del ramo se reafirma</w:t>
      </w:r>
      <w:r w:rsidR="00117324">
        <w:rPr>
          <w:rFonts w:eastAsia="Calibri"/>
          <w:sz w:val="24"/>
          <w:szCs w:val="24"/>
          <w:lang w:val="es-CO" w:eastAsia="en-US"/>
        </w:rPr>
        <w:t>,</w:t>
      </w:r>
      <w:r w:rsidRPr="00D92A78">
        <w:rPr>
          <w:rFonts w:eastAsia="Calibri"/>
          <w:sz w:val="24"/>
          <w:szCs w:val="24"/>
          <w:lang w:val="es-CO" w:eastAsia="en-US"/>
        </w:rPr>
        <w:t xml:space="preserve"> en la medida en que la SDH es la competente para liquidar el impuesto predial, con fundamento en la base gravable establecida por la UAECD, la cual es el avalúo catastral de los predios.</w:t>
      </w:r>
    </w:p>
    <w:p w14:paraId="2FDF58D8" w14:textId="77777777" w:rsidR="00A0581F" w:rsidRDefault="00A0581F" w:rsidP="00A0581F">
      <w:pPr>
        <w:jc w:val="both"/>
        <w:rPr>
          <w:rFonts w:eastAsia="Calibri"/>
          <w:sz w:val="24"/>
          <w:szCs w:val="24"/>
          <w:lang w:val="es-CO" w:eastAsia="en-US"/>
        </w:rPr>
      </w:pPr>
    </w:p>
    <w:p w14:paraId="0E183BE5" w14:textId="77777777" w:rsidR="00F3587C" w:rsidRDefault="00F3587C" w:rsidP="00A0581F">
      <w:pPr>
        <w:jc w:val="both"/>
        <w:rPr>
          <w:rFonts w:eastAsia="Calibri"/>
          <w:sz w:val="24"/>
          <w:szCs w:val="24"/>
          <w:lang w:val="es-CO" w:eastAsia="en-US"/>
        </w:rPr>
      </w:pPr>
    </w:p>
    <w:p w14:paraId="00C9A908" w14:textId="77777777" w:rsidR="00F3587C" w:rsidRPr="00D92A78" w:rsidRDefault="00F3587C" w:rsidP="00A0581F">
      <w:pPr>
        <w:jc w:val="both"/>
        <w:rPr>
          <w:rFonts w:eastAsia="Calibri"/>
          <w:sz w:val="24"/>
          <w:szCs w:val="24"/>
          <w:lang w:val="es-CO" w:eastAsia="en-US"/>
        </w:rPr>
      </w:pPr>
    </w:p>
    <w:p w14:paraId="26601CAE" w14:textId="77777777" w:rsidR="00A0581F" w:rsidRPr="00D92A78" w:rsidRDefault="00A0581F" w:rsidP="00117324">
      <w:pPr>
        <w:numPr>
          <w:ilvl w:val="0"/>
          <w:numId w:val="3"/>
        </w:numPr>
        <w:ind w:left="567" w:hanging="567"/>
        <w:jc w:val="both"/>
        <w:rPr>
          <w:rFonts w:eastAsia="Calibri"/>
          <w:b/>
          <w:bCs/>
          <w:smallCaps/>
          <w:sz w:val="24"/>
          <w:szCs w:val="24"/>
          <w:lang w:val="es-CO" w:eastAsia="en-US"/>
        </w:rPr>
      </w:pPr>
      <w:r w:rsidRPr="00D92A78">
        <w:rPr>
          <w:rFonts w:eastAsia="Calibri"/>
          <w:b/>
          <w:bCs/>
          <w:smallCaps/>
          <w:sz w:val="24"/>
          <w:szCs w:val="24"/>
          <w:lang w:val="es-CO" w:eastAsia="en-US"/>
        </w:rPr>
        <w:t>Razones del Proyecto</w:t>
      </w:r>
    </w:p>
    <w:p w14:paraId="5038FA41" w14:textId="77777777" w:rsidR="00A0581F" w:rsidRPr="00D92A78" w:rsidRDefault="00A0581F" w:rsidP="00A0581F">
      <w:pPr>
        <w:ind w:left="360"/>
        <w:jc w:val="both"/>
        <w:rPr>
          <w:rFonts w:eastAsia="Calibri"/>
          <w:b/>
          <w:bCs/>
          <w:smallCaps/>
          <w:sz w:val="24"/>
          <w:szCs w:val="24"/>
          <w:lang w:val="es-CO" w:eastAsia="en-US"/>
        </w:rPr>
      </w:pPr>
    </w:p>
    <w:p w14:paraId="34E56E8C" w14:textId="77777777" w:rsidR="00A0581F" w:rsidRPr="00D92A78" w:rsidRDefault="00A0581F" w:rsidP="00DE1ADE">
      <w:pPr>
        <w:numPr>
          <w:ilvl w:val="1"/>
          <w:numId w:val="3"/>
        </w:numPr>
        <w:ind w:left="567" w:hanging="567"/>
        <w:jc w:val="both"/>
        <w:rPr>
          <w:rFonts w:eastAsia="Calibri"/>
          <w:b/>
          <w:bCs/>
          <w:sz w:val="24"/>
          <w:szCs w:val="24"/>
          <w:lang w:val="es-CO" w:eastAsia="en-US"/>
        </w:rPr>
      </w:pPr>
      <w:r w:rsidRPr="00D92A78">
        <w:rPr>
          <w:rFonts w:eastAsia="Calibri"/>
          <w:b/>
          <w:bCs/>
          <w:sz w:val="24"/>
          <w:szCs w:val="24"/>
          <w:lang w:val="es-CO" w:eastAsia="en-US"/>
        </w:rPr>
        <w:lastRenderedPageBreak/>
        <w:t>Antecedentes</w:t>
      </w:r>
    </w:p>
    <w:p w14:paraId="60CED004" w14:textId="77777777" w:rsidR="00A0581F" w:rsidRPr="00D92A78" w:rsidRDefault="00A0581F" w:rsidP="00A0581F">
      <w:pPr>
        <w:jc w:val="both"/>
        <w:rPr>
          <w:rFonts w:eastAsia="Calibri"/>
          <w:sz w:val="24"/>
          <w:szCs w:val="24"/>
          <w:lang w:val="es-CO" w:eastAsia="en-US"/>
        </w:rPr>
      </w:pPr>
    </w:p>
    <w:p w14:paraId="790F1D84" w14:textId="77777777" w:rsidR="00A0581F" w:rsidRPr="00D92A78" w:rsidRDefault="00A0581F" w:rsidP="00A0581F">
      <w:pPr>
        <w:jc w:val="both"/>
        <w:rPr>
          <w:rFonts w:eastAsia="Calibri"/>
          <w:sz w:val="24"/>
          <w:szCs w:val="24"/>
          <w:lang w:val="es-CO" w:eastAsia="en-US"/>
        </w:rPr>
      </w:pPr>
      <w:r w:rsidRPr="00D92A78">
        <w:rPr>
          <w:rFonts w:eastAsia="Calibri"/>
          <w:sz w:val="24"/>
          <w:szCs w:val="24"/>
          <w:lang w:val="es-CO" w:eastAsia="en-US"/>
        </w:rPr>
        <w:t xml:space="preserve">Actualmente, el referente mínimo para determinar la base gravable del impuesto predial es el valor catastral de los predios. En un principio, el avalúo </w:t>
      </w:r>
      <w:r w:rsidR="00117324">
        <w:rPr>
          <w:rFonts w:eastAsia="Calibri"/>
          <w:sz w:val="24"/>
          <w:szCs w:val="24"/>
          <w:lang w:val="es-CO" w:eastAsia="en-US"/>
        </w:rPr>
        <w:t xml:space="preserve">catastral </w:t>
      </w:r>
      <w:r w:rsidRPr="00D92A78">
        <w:rPr>
          <w:rFonts w:eastAsia="Calibri"/>
          <w:sz w:val="24"/>
          <w:szCs w:val="24"/>
          <w:lang w:val="es-CO" w:eastAsia="en-US"/>
        </w:rPr>
        <w:t>es calculado por la Unidad Administrativa Especial de Catastro Distrital, en virtud de los procesos de actualización y conservación catastral. Dicho valor entra en vigencia el 1° de enero de cada año. En ese sentido, si se sometieran todos los predios de Bogotá a procesos recurrentes de actualización catastral, se tendría que cada 1° de enero entrarían en vigencia los nuevos valores que son resultado de la realización de los trabajos de actualización. Sin embargo, como quiera que la dinámica inmobiliaria es constante, algunos predios no resultan actualizados. Por tanto, el avalúo calculado en procesos anteriores debe reajustarse anualmente por el Gobierno Distrital de acuerdo con los índices de valoración inmobiliaria y rural y previo concepto del CONFIS.</w:t>
      </w:r>
    </w:p>
    <w:p w14:paraId="53EC38A7" w14:textId="77777777" w:rsidR="00A0581F" w:rsidRDefault="00A0581F" w:rsidP="00A0581F">
      <w:pPr>
        <w:jc w:val="both"/>
        <w:rPr>
          <w:rFonts w:eastAsia="Calibri"/>
          <w:sz w:val="24"/>
          <w:szCs w:val="24"/>
          <w:lang w:val="es-CO" w:eastAsia="en-US"/>
        </w:rPr>
      </w:pPr>
    </w:p>
    <w:p w14:paraId="2846477F" w14:textId="4A7D4A93" w:rsidR="00A0581F" w:rsidRPr="00D92A78" w:rsidRDefault="00A0581F" w:rsidP="00A0581F">
      <w:pPr>
        <w:jc w:val="both"/>
        <w:rPr>
          <w:rFonts w:eastAsia="Calibri"/>
          <w:sz w:val="24"/>
          <w:szCs w:val="24"/>
          <w:lang w:val="es-CO" w:eastAsia="en-US"/>
        </w:rPr>
      </w:pPr>
      <w:r w:rsidRPr="00D92A78">
        <w:rPr>
          <w:rFonts w:eastAsia="Calibri"/>
          <w:sz w:val="24"/>
          <w:szCs w:val="24"/>
          <w:lang w:val="es-CO" w:eastAsia="en-US"/>
        </w:rPr>
        <w:t xml:space="preserve">El avalúo catastral es </w:t>
      </w:r>
      <w:r w:rsidR="00117324">
        <w:rPr>
          <w:rFonts w:eastAsia="Calibri"/>
          <w:sz w:val="24"/>
          <w:szCs w:val="24"/>
          <w:lang w:val="es-CO" w:eastAsia="en-US"/>
        </w:rPr>
        <w:t xml:space="preserve">la </w:t>
      </w:r>
      <w:r w:rsidRPr="00D92A78">
        <w:rPr>
          <w:rFonts w:eastAsia="Calibri"/>
          <w:sz w:val="24"/>
          <w:szCs w:val="24"/>
          <w:lang w:val="es-CO" w:eastAsia="en-US"/>
        </w:rPr>
        <w:t xml:space="preserve">base gravable para la liquidación final del impuesto predial. </w:t>
      </w:r>
      <w:r w:rsidR="00426F6A">
        <w:rPr>
          <w:rFonts w:eastAsia="Calibri"/>
          <w:sz w:val="24"/>
          <w:szCs w:val="24"/>
          <w:lang w:val="es-CO" w:eastAsia="en-US"/>
        </w:rPr>
        <w:t>En este sentido, la Ley 601 de 2000 consagra la</w:t>
      </w:r>
      <w:r w:rsidRPr="00D92A78">
        <w:rPr>
          <w:rFonts w:eastAsia="Calibri"/>
          <w:sz w:val="24"/>
          <w:szCs w:val="24"/>
          <w:lang w:val="es-CO" w:eastAsia="en-US"/>
        </w:rPr>
        <w:t xml:space="preserve"> facultad administrativa de reajustar anualmente </w:t>
      </w:r>
      <w:r w:rsidR="00426F6A">
        <w:rPr>
          <w:rFonts w:eastAsia="Calibri"/>
          <w:sz w:val="24"/>
          <w:szCs w:val="24"/>
          <w:lang w:val="es-CO" w:eastAsia="en-US"/>
        </w:rPr>
        <w:t>la base gravable</w:t>
      </w:r>
      <w:r w:rsidRPr="00D92A78">
        <w:rPr>
          <w:rFonts w:eastAsia="Calibri"/>
          <w:sz w:val="24"/>
          <w:szCs w:val="24"/>
          <w:lang w:val="es-CO" w:eastAsia="en-US"/>
        </w:rPr>
        <w:t xml:space="preserve"> con base en un índice técnico. </w:t>
      </w:r>
      <w:r w:rsidR="00426F6A">
        <w:rPr>
          <w:rFonts w:eastAsia="Calibri"/>
          <w:sz w:val="24"/>
          <w:szCs w:val="24"/>
          <w:lang w:val="es-CO" w:eastAsia="en-US"/>
        </w:rPr>
        <w:t xml:space="preserve">Lo anterior ha sido justamente reconocido por la </w:t>
      </w:r>
      <w:r w:rsidRPr="00D92A78">
        <w:rPr>
          <w:rFonts w:eastAsia="Calibri"/>
          <w:sz w:val="24"/>
          <w:szCs w:val="24"/>
          <w:lang w:val="es-CO" w:eastAsia="en-US"/>
        </w:rPr>
        <w:t>Corte Constitucional</w:t>
      </w:r>
    </w:p>
    <w:p w14:paraId="2B318B09" w14:textId="77777777" w:rsidR="00A0581F" w:rsidRPr="00D92A78" w:rsidRDefault="00A0581F" w:rsidP="00A0581F">
      <w:pPr>
        <w:jc w:val="both"/>
        <w:rPr>
          <w:rFonts w:eastAsia="Calibri"/>
          <w:sz w:val="24"/>
          <w:szCs w:val="24"/>
          <w:lang w:val="es-CO" w:eastAsia="en-US"/>
        </w:rPr>
      </w:pPr>
    </w:p>
    <w:p w14:paraId="26AF9F14" w14:textId="77777777" w:rsidR="00A0581F" w:rsidRPr="00DE1ADE" w:rsidRDefault="00A0581F" w:rsidP="00DE1ADE">
      <w:pPr>
        <w:ind w:left="284" w:right="335"/>
        <w:jc w:val="both"/>
        <w:rPr>
          <w:rFonts w:eastAsia="Calibri"/>
          <w:sz w:val="22"/>
          <w:szCs w:val="22"/>
          <w:lang w:val="es-CO" w:eastAsia="en-US"/>
        </w:rPr>
      </w:pPr>
      <w:r w:rsidRPr="00DE1ADE">
        <w:rPr>
          <w:rFonts w:eastAsia="Calibri"/>
          <w:iCs/>
          <w:sz w:val="22"/>
          <w:szCs w:val="22"/>
          <w:lang w:val="es-CO" w:eastAsia="en-US"/>
        </w:rPr>
        <w:t>“</w:t>
      </w:r>
      <w:r w:rsidRPr="00DE1ADE">
        <w:rPr>
          <w:rFonts w:eastAsia="Calibri"/>
          <w:i/>
          <w:iCs/>
          <w:sz w:val="22"/>
          <w:szCs w:val="22"/>
          <w:lang w:val="es-CO" w:eastAsia="en-US"/>
        </w:rPr>
        <w:t>Los elementos del tributo sólo pueden ser fijados por el Congreso de la República, las Asambleas Departamentales, los Concejos Municipales y el Concejo Distrital de Bogotá, las distintas autoridades administrativas pueden ser habilitadas para fijar o reajustar los valores patrimoniales de los bienes sobre los cuales pesa la carga tributaria pues este es un ejercicio de una función típicamente administrativa, que obedece a motivos razonables y sobre la que no existe reserva alguna</w:t>
      </w:r>
      <w:r w:rsidRPr="00DE1ADE">
        <w:rPr>
          <w:rFonts w:eastAsia="Calibri"/>
          <w:sz w:val="22"/>
          <w:szCs w:val="22"/>
          <w:lang w:val="es-CO" w:eastAsia="en-US"/>
        </w:rPr>
        <w:t>”.</w:t>
      </w:r>
      <w:r w:rsidRPr="00DE1ADE">
        <w:rPr>
          <w:rFonts w:eastAsia="Calibri"/>
          <w:sz w:val="22"/>
          <w:szCs w:val="22"/>
          <w:vertAlign w:val="superscript"/>
          <w:lang w:val="es-CO" w:eastAsia="en-US"/>
        </w:rPr>
        <w:footnoteReference w:id="2"/>
      </w:r>
    </w:p>
    <w:p w14:paraId="3A768EB1" w14:textId="77777777" w:rsidR="00A0581F" w:rsidRPr="00D92A78" w:rsidRDefault="00A0581F" w:rsidP="00A0581F">
      <w:pPr>
        <w:jc w:val="both"/>
        <w:rPr>
          <w:rFonts w:eastAsia="Calibri"/>
          <w:sz w:val="24"/>
          <w:szCs w:val="24"/>
          <w:lang w:val="es-CO" w:eastAsia="en-US"/>
        </w:rPr>
      </w:pPr>
    </w:p>
    <w:p w14:paraId="714D00A1" w14:textId="52128878" w:rsidR="00A0581F" w:rsidRPr="00D92A78" w:rsidRDefault="00A0581F" w:rsidP="00A0581F">
      <w:pPr>
        <w:jc w:val="both"/>
        <w:rPr>
          <w:rFonts w:eastAsia="Calibri"/>
          <w:sz w:val="24"/>
          <w:szCs w:val="24"/>
          <w:lang w:val="es-CO" w:eastAsia="en-US"/>
        </w:rPr>
      </w:pPr>
      <w:r w:rsidRPr="00D92A78">
        <w:rPr>
          <w:rFonts w:eastAsia="Calibri"/>
          <w:sz w:val="24"/>
          <w:szCs w:val="24"/>
          <w:lang w:val="es-CO" w:eastAsia="en-US"/>
        </w:rPr>
        <w:t xml:space="preserve">Se ha reconocido en el ordenamiento jurídico colombiano que la ley tiene carácter de general. </w:t>
      </w:r>
      <w:r w:rsidR="00426F6A">
        <w:rPr>
          <w:rFonts w:eastAsia="Calibri"/>
          <w:sz w:val="24"/>
          <w:szCs w:val="24"/>
          <w:lang w:val="es-CO" w:eastAsia="en-US"/>
        </w:rPr>
        <w:t xml:space="preserve">Por lo anterior, </w:t>
      </w:r>
      <w:r w:rsidRPr="00D92A78">
        <w:rPr>
          <w:rFonts w:eastAsia="Calibri"/>
          <w:sz w:val="24"/>
          <w:szCs w:val="24"/>
          <w:lang w:val="es-CO" w:eastAsia="en-US"/>
        </w:rPr>
        <w:t xml:space="preserve">la Corte Constitucional ha </w:t>
      </w:r>
      <w:r w:rsidR="00426F6A">
        <w:rPr>
          <w:rFonts w:eastAsia="Calibri"/>
          <w:sz w:val="24"/>
          <w:szCs w:val="24"/>
          <w:lang w:val="es-CO" w:eastAsia="en-US"/>
        </w:rPr>
        <w:t>reiterado este planteamiento en materia tributaria</w:t>
      </w:r>
      <w:r w:rsidRPr="00D92A78">
        <w:rPr>
          <w:rFonts w:eastAsia="Calibri"/>
          <w:sz w:val="24"/>
          <w:szCs w:val="24"/>
          <w:lang w:val="es-CO" w:eastAsia="en-US"/>
        </w:rPr>
        <w:t>:</w:t>
      </w:r>
    </w:p>
    <w:p w14:paraId="321E02A5" w14:textId="77777777" w:rsidR="00A0581F" w:rsidRPr="00D92A78" w:rsidRDefault="00A0581F" w:rsidP="00A0581F">
      <w:pPr>
        <w:jc w:val="both"/>
        <w:rPr>
          <w:rFonts w:eastAsia="Calibri"/>
          <w:sz w:val="24"/>
          <w:szCs w:val="24"/>
          <w:lang w:val="es-CO" w:eastAsia="en-US"/>
        </w:rPr>
      </w:pPr>
    </w:p>
    <w:p w14:paraId="44584BFB" w14:textId="77777777" w:rsidR="00A0581F" w:rsidRPr="00DE1ADE" w:rsidRDefault="00A0581F" w:rsidP="00722457">
      <w:pPr>
        <w:ind w:left="284" w:right="283"/>
        <w:jc w:val="both"/>
        <w:rPr>
          <w:rFonts w:eastAsia="Calibri"/>
          <w:sz w:val="22"/>
          <w:szCs w:val="22"/>
          <w:lang w:val="es-CO" w:eastAsia="en-US"/>
        </w:rPr>
      </w:pPr>
      <w:r w:rsidRPr="00DE1ADE">
        <w:rPr>
          <w:rFonts w:eastAsia="Calibri"/>
          <w:sz w:val="22"/>
          <w:szCs w:val="22"/>
          <w:lang w:val="es-CO" w:eastAsia="en-US"/>
        </w:rPr>
        <w:t>“</w:t>
      </w:r>
      <w:r w:rsidRPr="00DE1ADE">
        <w:rPr>
          <w:rFonts w:eastAsia="Calibri"/>
          <w:i/>
          <w:sz w:val="22"/>
          <w:szCs w:val="22"/>
          <w:lang w:val="es-CO" w:eastAsia="en-US"/>
        </w:rPr>
        <w:t>L</w:t>
      </w:r>
      <w:r w:rsidRPr="00DE1ADE">
        <w:rPr>
          <w:rFonts w:eastAsia="Calibri"/>
          <w:i/>
          <w:iCs/>
          <w:spacing w:val="-2"/>
          <w:sz w:val="22"/>
          <w:szCs w:val="22"/>
          <w:lang w:val="es-CO" w:eastAsia="en-US"/>
        </w:rPr>
        <w:t>a ley no puede, en el caso concreto, determinar el valor de cada bien. En realidad, el valor de un inmueble corresponde a razones de tipo técnico que tienen que ver especialmente con la fluctuación de los valores de los distintos activos patrimoniales. Por tanto, las disposiciones de naturaleza legal deben limitarse a indicar la manera como debe ser fijado ese valor. Por tanto, “no compete al legislador señalar directamente en todos los casos los valores patrimoniales de los bienes que son tomados como determinantes de la base gravable de los tributos, pues esto, por razones de tipo técnico y administrativo, no resulta posible en la mayoría de los casos</w:t>
      </w:r>
      <w:r w:rsidRPr="00DE1ADE">
        <w:rPr>
          <w:rFonts w:eastAsia="Calibri"/>
          <w:sz w:val="22"/>
          <w:szCs w:val="22"/>
          <w:lang w:val="es-CO" w:eastAsia="en-US"/>
        </w:rPr>
        <w:t>”.</w:t>
      </w:r>
      <w:r w:rsidRPr="00DE1ADE">
        <w:rPr>
          <w:rFonts w:eastAsia="Calibri"/>
          <w:sz w:val="22"/>
          <w:szCs w:val="22"/>
          <w:vertAlign w:val="superscript"/>
          <w:lang w:val="es-CO" w:eastAsia="en-US"/>
        </w:rPr>
        <w:t xml:space="preserve"> </w:t>
      </w:r>
      <w:r w:rsidRPr="00DE1ADE">
        <w:rPr>
          <w:rFonts w:eastAsia="Calibri"/>
          <w:sz w:val="22"/>
          <w:szCs w:val="22"/>
          <w:vertAlign w:val="superscript"/>
          <w:lang w:val="es-CO" w:eastAsia="en-US"/>
        </w:rPr>
        <w:footnoteReference w:id="3"/>
      </w:r>
    </w:p>
    <w:p w14:paraId="0A67C66F" w14:textId="77777777" w:rsidR="00A0581F" w:rsidRPr="00D92A78" w:rsidRDefault="00A0581F" w:rsidP="00A0581F">
      <w:pPr>
        <w:jc w:val="both"/>
        <w:rPr>
          <w:rFonts w:eastAsia="Calibri"/>
          <w:sz w:val="24"/>
          <w:szCs w:val="24"/>
          <w:lang w:val="es-CO" w:eastAsia="en-US"/>
        </w:rPr>
      </w:pPr>
    </w:p>
    <w:p w14:paraId="4A345987" w14:textId="77777777" w:rsidR="00A0581F" w:rsidRPr="00D92A78" w:rsidRDefault="00A0581F" w:rsidP="00A0581F">
      <w:pPr>
        <w:jc w:val="both"/>
        <w:rPr>
          <w:rFonts w:eastAsia="Calibri"/>
          <w:sz w:val="24"/>
          <w:szCs w:val="24"/>
          <w:lang w:val="es-CO" w:eastAsia="en-US"/>
        </w:rPr>
      </w:pPr>
      <w:r w:rsidRPr="00D92A78">
        <w:rPr>
          <w:rFonts w:eastAsia="Calibri"/>
          <w:sz w:val="24"/>
          <w:szCs w:val="24"/>
          <w:lang w:val="es-CO" w:eastAsia="en-US"/>
        </w:rPr>
        <w:t>Lo anterior, por cuanto “</w:t>
      </w:r>
      <w:r w:rsidRPr="00D92A78">
        <w:rPr>
          <w:rFonts w:eastAsia="Calibri"/>
          <w:i/>
          <w:sz w:val="24"/>
          <w:szCs w:val="24"/>
          <w:lang w:val="es-CO" w:eastAsia="en-US"/>
        </w:rPr>
        <w:t>fenómenos tan dinámicos como la inflación y la devaluación monetaria, entre otros, hacen pensar en lo inconveniente y contraria a la naturaleza de las cosas que resulta esa posición”</w:t>
      </w:r>
      <w:r w:rsidRPr="00D92A78">
        <w:rPr>
          <w:rFonts w:eastAsia="Calibri"/>
          <w:sz w:val="24"/>
          <w:szCs w:val="24"/>
          <w:vertAlign w:val="superscript"/>
          <w:lang w:val="es-CO" w:eastAsia="en-US"/>
        </w:rPr>
        <w:footnoteReference w:id="4"/>
      </w:r>
      <w:r w:rsidRPr="00D92A78">
        <w:rPr>
          <w:rFonts w:eastAsia="Calibri"/>
          <w:sz w:val="24"/>
          <w:szCs w:val="24"/>
          <w:vertAlign w:val="superscript"/>
          <w:lang w:val="es-CO" w:eastAsia="en-US"/>
        </w:rPr>
        <w:t xml:space="preserve"> </w:t>
      </w:r>
      <w:r w:rsidRPr="00D92A78">
        <w:rPr>
          <w:rFonts w:eastAsia="Calibri"/>
          <w:sz w:val="24"/>
          <w:szCs w:val="24"/>
          <w:lang w:val="es-CO" w:eastAsia="en-US"/>
        </w:rPr>
        <w:t>para lo que en este caso corresponde al mercado inmobiliario.</w:t>
      </w:r>
    </w:p>
    <w:p w14:paraId="555B7BA4" w14:textId="77777777" w:rsidR="00A0581F" w:rsidRPr="00D92A78" w:rsidRDefault="00A0581F" w:rsidP="00A0581F">
      <w:pPr>
        <w:jc w:val="both"/>
        <w:rPr>
          <w:rFonts w:eastAsia="Calibri"/>
          <w:sz w:val="24"/>
          <w:szCs w:val="24"/>
          <w:lang w:val="es-CO" w:eastAsia="en-US"/>
        </w:rPr>
      </w:pPr>
    </w:p>
    <w:p w14:paraId="31A31620" w14:textId="77777777" w:rsidR="00426F6A" w:rsidRDefault="00A0581F" w:rsidP="00A0581F">
      <w:pPr>
        <w:jc w:val="both"/>
        <w:rPr>
          <w:rFonts w:eastAsia="Calibri"/>
          <w:i/>
          <w:sz w:val="24"/>
          <w:szCs w:val="24"/>
          <w:lang w:val="es-CO" w:eastAsia="en-US"/>
        </w:rPr>
      </w:pPr>
      <w:r w:rsidRPr="00D92A78">
        <w:rPr>
          <w:rFonts w:eastAsia="Calibri"/>
          <w:sz w:val="24"/>
          <w:szCs w:val="24"/>
          <w:lang w:val="es-CO" w:eastAsia="en-US"/>
        </w:rPr>
        <w:lastRenderedPageBreak/>
        <w:t>Todo lo expuesto en nada afecta la legalidad y la certeza de la que obligatoriamente deben gozar los tributos. Esto por cuanto el principio de legalidad tributaria</w:t>
      </w:r>
      <w:r w:rsidRPr="00D92A78">
        <w:rPr>
          <w:rFonts w:eastAsia="Calibri"/>
          <w:i/>
          <w:sz w:val="24"/>
          <w:szCs w:val="24"/>
          <w:lang w:val="es-CO" w:eastAsia="en-US"/>
        </w:rPr>
        <w:t xml:space="preserve"> “no tiene el alcance de impedir que el Congreso defiera a otras entidades la fijación de ciertos conceptos técnicos que inciden en la determinación de alguno de los elementos del tributo”</w:t>
      </w:r>
      <w:r w:rsidRPr="00D92A78">
        <w:rPr>
          <w:rFonts w:eastAsia="Calibri"/>
          <w:i/>
          <w:sz w:val="24"/>
          <w:szCs w:val="24"/>
          <w:vertAlign w:val="superscript"/>
          <w:lang w:val="es-CO" w:eastAsia="en-US"/>
        </w:rPr>
        <w:footnoteReference w:id="5"/>
      </w:r>
      <w:r w:rsidRPr="00D92A78">
        <w:rPr>
          <w:rFonts w:eastAsia="Calibri"/>
          <w:i/>
          <w:sz w:val="24"/>
          <w:szCs w:val="24"/>
          <w:lang w:val="es-CO" w:eastAsia="en-US"/>
        </w:rPr>
        <w:t xml:space="preserve">. </w:t>
      </w:r>
    </w:p>
    <w:p w14:paraId="58949168" w14:textId="77777777" w:rsidR="00426F6A" w:rsidRDefault="00426F6A" w:rsidP="00A0581F">
      <w:pPr>
        <w:jc w:val="both"/>
        <w:rPr>
          <w:rFonts w:eastAsia="Calibri"/>
          <w:i/>
          <w:sz w:val="24"/>
          <w:szCs w:val="24"/>
          <w:lang w:val="es-CO" w:eastAsia="en-US"/>
        </w:rPr>
      </w:pPr>
    </w:p>
    <w:p w14:paraId="569B1D12" w14:textId="2FBA030B" w:rsidR="00A0581F" w:rsidRPr="00D92A78" w:rsidRDefault="00722457" w:rsidP="00DE1ADE">
      <w:pPr>
        <w:ind w:right="141"/>
        <w:jc w:val="both"/>
        <w:rPr>
          <w:sz w:val="24"/>
          <w:szCs w:val="24"/>
        </w:rPr>
      </w:pPr>
      <w:r>
        <w:rPr>
          <w:rFonts w:eastAsia="Calibri"/>
          <w:sz w:val="24"/>
          <w:szCs w:val="24"/>
          <w:lang w:val="es-CO" w:eastAsia="en-US"/>
        </w:rPr>
        <w:t>Por lo anterior</w:t>
      </w:r>
      <w:r w:rsidR="00A0581F" w:rsidRPr="00D92A78">
        <w:rPr>
          <w:rFonts w:eastAsia="Calibri"/>
          <w:sz w:val="24"/>
          <w:szCs w:val="24"/>
          <w:lang w:val="es-CO" w:eastAsia="en-US"/>
        </w:rPr>
        <w:t xml:space="preserve">, la Corte Constitucional ha </w:t>
      </w:r>
      <w:r>
        <w:rPr>
          <w:rFonts w:eastAsia="Calibri"/>
          <w:sz w:val="24"/>
          <w:szCs w:val="24"/>
          <w:lang w:val="es-CO" w:eastAsia="en-US"/>
        </w:rPr>
        <w:t>concluido</w:t>
      </w:r>
      <w:r w:rsidRPr="00D92A78">
        <w:rPr>
          <w:rFonts w:eastAsia="Calibri"/>
          <w:sz w:val="24"/>
          <w:szCs w:val="24"/>
          <w:lang w:val="es-CO" w:eastAsia="en-US"/>
        </w:rPr>
        <w:t xml:space="preserve"> </w:t>
      </w:r>
      <w:r w:rsidR="00A0581F" w:rsidRPr="00D92A78">
        <w:rPr>
          <w:rFonts w:eastAsia="Calibri"/>
          <w:sz w:val="24"/>
          <w:szCs w:val="24"/>
          <w:lang w:val="es-CO" w:eastAsia="en-US"/>
        </w:rPr>
        <w:t xml:space="preserve">que </w:t>
      </w:r>
      <w:r w:rsidR="00A0581F" w:rsidRPr="00D92A78">
        <w:rPr>
          <w:sz w:val="24"/>
          <w:szCs w:val="24"/>
        </w:rPr>
        <w:t>“</w:t>
      </w:r>
      <w:r w:rsidR="00A0581F" w:rsidRPr="00D92A78">
        <w:rPr>
          <w:i/>
          <w:iCs/>
          <w:sz w:val="24"/>
          <w:szCs w:val="24"/>
        </w:rPr>
        <w:t>resultaría contrario a la técnica del procedimiento tributario exigir que la ley, el acuerdo o el reglamento, más allá de la fijación de la base de cobro del gravamen, entren a detallar en cada caso concreto la suma sobre la cual el mismo habrá de liquidarse, ya que en esta operación deben tenerse en cuenta variables económicas que escapan al rigorismo propio de esos actos jurídicos y a la determinación política del tema, lo cual se encuadra dentro del principio de legalidad tributaria</w:t>
      </w:r>
      <w:r w:rsidR="00A0581F" w:rsidRPr="00D92A78">
        <w:rPr>
          <w:sz w:val="24"/>
          <w:szCs w:val="24"/>
        </w:rPr>
        <w:t>”.</w:t>
      </w:r>
      <w:r w:rsidR="00A0581F" w:rsidRPr="00D92A78">
        <w:rPr>
          <w:sz w:val="24"/>
          <w:szCs w:val="24"/>
          <w:vertAlign w:val="superscript"/>
        </w:rPr>
        <w:footnoteReference w:id="6"/>
      </w:r>
      <w:r w:rsidR="00A0581F" w:rsidRPr="00D92A78">
        <w:rPr>
          <w:sz w:val="24"/>
          <w:szCs w:val="24"/>
        </w:rPr>
        <w:t xml:space="preserve"> </w:t>
      </w:r>
    </w:p>
    <w:p w14:paraId="17B710A9" w14:textId="77777777" w:rsidR="00A0581F" w:rsidRPr="00D92A78" w:rsidRDefault="00A0581F" w:rsidP="00A0581F">
      <w:pPr>
        <w:jc w:val="both"/>
        <w:rPr>
          <w:rFonts w:eastAsia="Calibri"/>
          <w:sz w:val="24"/>
          <w:szCs w:val="24"/>
          <w:lang w:val="es-CO" w:eastAsia="en-US"/>
        </w:rPr>
      </w:pPr>
    </w:p>
    <w:p w14:paraId="6506E40E" w14:textId="77777777" w:rsidR="00A0581F" w:rsidRPr="00D92A78" w:rsidRDefault="00A0581F" w:rsidP="00A0581F">
      <w:pPr>
        <w:jc w:val="both"/>
        <w:rPr>
          <w:rFonts w:eastAsia="Calibri"/>
          <w:sz w:val="24"/>
          <w:szCs w:val="24"/>
          <w:lang w:val="es-CO" w:eastAsia="en-US"/>
        </w:rPr>
      </w:pPr>
      <w:r w:rsidRPr="00D92A78">
        <w:rPr>
          <w:rFonts w:eastAsia="Calibri"/>
          <w:sz w:val="24"/>
          <w:szCs w:val="24"/>
          <w:lang w:val="es-CO" w:eastAsia="en-US"/>
        </w:rPr>
        <w:t>En suma, no puede exigirse que la ley determine de manera expresa y detallada todos los elementos del tributo. Lo importante radica en que la ley establezca los parámetros ineludibles para determinar con precisión cada elemento</w:t>
      </w:r>
      <w:r w:rsidR="00722457">
        <w:rPr>
          <w:rFonts w:eastAsia="Calibri"/>
          <w:sz w:val="24"/>
          <w:szCs w:val="24"/>
          <w:lang w:val="es-CO" w:eastAsia="en-US"/>
        </w:rPr>
        <w:t>, tal como lo hace el artículo 3º de la Ley 601 de 2000</w:t>
      </w:r>
      <w:r w:rsidRPr="00D92A78">
        <w:rPr>
          <w:rFonts w:eastAsia="Calibri"/>
          <w:sz w:val="24"/>
          <w:szCs w:val="24"/>
          <w:lang w:val="es-CO" w:eastAsia="en-US"/>
        </w:rPr>
        <w:t>.</w:t>
      </w:r>
      <w:r w:rsidRPr="00D92A78">
        <w:rPr>
          <w:rFonts w:eastAsia="Calibri"/>
          <w:i/>
          <w:iCs/>
          <w:color w:val="000000"/>
          <w:sz w:val="24"/>
          <w:szCs w:val="24"/>
          <w:vertAlign w:val="superscript"/>
          <w:lang w:val="es-CO" w:eastAsia="en-US"/>
        </w:rPr>
        <w:footnoteReference w:id="7"/>
      </w:r>
    </w:p>
    <w:p w14:paraId="5467E3EC" w14:textId="77777777" w:rsidR="00A0581F" w:rsidRDefault="00A0581F" w:rsidP="00A0581F">
      <w:pPr>
        <w:jc w:val="both"/>
        <w:rPr>
          <w:rFonts w:eastAsia="Calibri"/>
          <w:sz w:val="24"/>
          <w:szCs w:val="24"/>
          <w:lang w:val="es-CO" w:eastAsia="en-US"/>
        </w:rPr>
      </w:pPr>
    </w:p>
    <w:p w14:paraId="309FB1B9" w14:textId="77777777" w:rsidR="00A0581F" w:rsidRPr="00D92A78" w:rsidRDefault="00A0581F" w:rsidP="00A0581F">
      <w:pPr>
        <w:jc w:val="both"/>
        <w:rPr>
          <w:rFonts w:eastAsia="Calibri"/>
          <w:sz w:val="24"/>
          <w:szCs w:val="24"/>
          <w:lang w:val="es-CO" w:eastAsia="en-US"/>
        </w:rPr>
      </w:pPr>
    </w:p>
    <w:p w14:paraId="7971C9A4" w14:textId="77777777" w:rsidR="00A0581F" w:rsidRPr="00336D8D" w:rsidRDefault="00A0581F" w:rsidP="00A0581F">
      <w:pPr>
        <w:numPr>
          <w:ilvl w:val="1"/>
          <w:numId w:val="3"/>
        </w:numPr>
        <w:jc w:val="both"/>
        <w:rPr>
          <w:rFonts w:eastAsia="Calibri"/>
          <w:b/>
          <w:bCs/>
          <w:sz w:val="24"/>
          <w:szCs w:val="24"/>
          <w:lang w:val="es-CO" w:eastAsia="en-US"/>
        </w:rPr>
      </w:pPr>
      <w:r w:rsidRPr="00336D8D">
        <w:rPr>
          <w:rFonts w:eastAsia="Calibri"/>
          <w:b/>
          <w:bCs/>
          <w:sz w:val="24"/>
          <w:szCs w:val="24"/>
          <w:lang w:val="es-CO" w:eastAsia="en-US"/>
        </w:rPr>
        <w:t>Fundamentos técnicos</w:t>
      </w:r>
    </w:p>
    <w:p w14:paraId="1D5184B4" w14:textId="77777777" w:rsidR="00A0581F" w:rsidRDefault="00A0581F" w:rsidP="00A0581F">
      <w:pPr>
        <w:ind w:right="51"/>
        <w:jc w:val="both"/>
        <w:rPr>
          <w:rFonts w:eastAsia="Calibri"/>
          <w:sz w:val="24"/>
          <w:szCs w:val="24"/>
          <w:lang w:val="es-CO" w:eastAsia="en-US"/>
        </w:rPr>
      </w:pPr>
    </w:p>
    <w:p w14:paraId="5B5CA510" w14:textId="2C0A3FD5" w:rsidR="00A0581F" w:rsidRPr="00DE1ADE" w:rsidRDefault="00A0581F" w:rsidP="00A0581F">
      <w:pPr>
        <w:ind w:right="51"/>
        <w:jc w:val="both"/>
        <w:rPr>
          <w:rFonts w:eastAsia="Calibri"/>
          <w:sz w:val="24"/>
          <w:szCs w:val="24"/>
          <w:lang w:val="es-CO" w:eastAsia="en-US"/>
        </w:rPr>
      </w:pPr>
      <w:r w:rsidRPr="00DE1ADE">
        <w:rPr>
          <w:rFonts w:eastAsia="Calibri"/>
          <w:sz w:val="24"/>
          <w:szCs w:val="24"/>
          <w:lang w:val="es-CO" w:eastAsia="en-US"/>
        </w:rPr>
        <w:t>Con el propósito de mantener actualizados los índices de crecimiento de la valoración de los predios de la ciudad, la Ley 601 de 2000, en su artículo 3, estableció para Bogotá la facultad de calcular el Índice de Valoración Inmobiliaria Urbana y Rural – IVIUR. Este índice busca calcular la mediana de la variación de los precios de los predios en forma anual, para ser aplicado sobre los predios objeto del proceso de conservación catastral</w:t>
      </w:r>
      <w:r w:rsidRPr="00DE1ADE">
        <w:rPr>
          <w:rFonts w:eastAsia="Calibri"/>
          <w:sz w:val="24"/>
          <w:szCs w:val="24"/>
          <w:vertAlign w:val="superscript"/>
          <w:lang w:val="es-CO" w:eastAsia="en-US"/>
        </w:rPr>
        <w:footnoteReference w:id="8"/>
      </w:r>
      <w:r w:rsidRPr="00DE1ADE">
        <w:rPr>
          <w:rFonts w:eastAsia="Calibri"/>
          <w:sz w:val="24"/>
          <w:szCs w:val="24"/>
          <w:lang w:val="es-CO" w:eastAsia="en-US"/>
        </w:rPr>
        <w:t>. Dentro de los objetivos generales de la función catastral se encuentra la elaboración y administración de la información inmobiliaria mediante los procesos de formación, actualización y conservación catastral. El Censo Catastral vigencia 20</w:t>
      </w:r>
      <w:r w:rsidR="00A4792E" w:rsidRPr="00DE1ADE">
        <w:rPr>
          <w:rFonts w:eastAsia="Calibri"/>
          <w:sz w:val="24"/>
          <w:szCs w:val="24"/>
          <w:lang w:val="es-CO" w:eastAsia="en-US"/>
        </w:rPr>
        <w:t>20</w:t>
      </w:r>
      <w:r w:rsidRPr="00DE1ADE">
        <w:rPr>
          <w:rFonts w:eastAsia="Calibri"/>
          <w:sz w:val="24"/>
          <w:szCs w:val="24"/>
          <w:lang w:val="es-CO" w:eastAsia="en-US"/>
        </w:rPr>
        <w:t xml:space="preserve"> fue realizado durante el año 201</w:t>
      </w:r>
      <w:r w:rsidR="00A4792E" w:rsidRPr="00DE1ADE">
        <w:rPr>
          <w:rFonts w:eastAsia="Calibri"/>
          <w:sz w:val="24"/>
          <w:szCs w:val="24"/>
          <w:lang w:val="es-CO" w:eastAsia="en-US"/>
        </w:rPr>
        <w:t>9</w:t>
      </w:r>
      <w:r w:rsidRPr="00DE1ADE">
        <w:rPr>
          <w:rFonts w:eastAsia="Calibri"/>
          <w:sz w:val="24"/>
          <w:szCs w:val="24"/>
          <w:lang w:val="es-CO" w:eastAsia="en-US"/>
        </w:rPr>
        <w:t>, y estuvo compuesto por los procesos de actualización, que fue aplicado a 2.</w:t>
      </w:r>
      <w:r w:rsidR="0055182C" w:rsidRPr="00DE1ADE">
        <w:rPr>
          <w:rFonts w:eastAsia="Calibri"/>
          <w:sz w:val="24"/>
          <w:szCs w:val="24"/>
          <w:lang w:val="es-CO" w:eastAsia="en-US"/>
        </w:rPr>
        <w:t>666</w:t>
      </w:r>
      <w:r w:rsidRPr="00DE1ADE">
        <w:rPr>
          <w:rFonts w:eastAsia="Calibri"/>
          <w:sz w:val="24"/>
          <w:szCs w:val="24"/>
          <w:lang w:val="es-CO" w:eastAsia="en-US"/>
        </w:rPr>
        <w:t>.</w:t>
      </w:r>
      <w:r w:rsidR="0055182C" w:rsidRPr="00DE1ADE">
        <w:rPr>
          <w:rFonts w:eastAsia="Calibri"/>
          <w:sz w:val="24"/>
          <w:szCs w:val="24"/>
          <w:lang w:val="es-CO" w:eastAsia="en-US"/>
        </w:rPr>
        <w:t>646</w:t>
      </w:r>
      <w:r w:rsidRPr="00DE1ADE">
        <w:rPr>
          <w:rFonts w:eastAsia="Calibri"/>
          <w:sz w:val="24"/>
          <w:szCs w:val="24"/>
          <w:lang w:val="es-CO" w:eastAsia="en-US"/>
        </w:rPr>
        <w:t xml:space="preserve"> predios </w:t>
      </w:r>
      <w:r w:rsidR="00A4792E" w:rsidRPr="00DE1ADE">
        <w:rPr>
          <w:rFonts w:eastAsia="Calibri"/>
          <w:sz w:val="24"/>
          <w:szCs w:val="24"/>
          <w:lang w:val="es-CO" w:eastAsia="en-US"/>
        </w:rPr>
        <w:t>urbanos, y</w:t>
      </w:r>
      <w:r w:rsidRPr="00DE1ADE">
        <w:rPr>
          <w:rFonts w:eastAsia="Calibri"/>
          <w:sz w:val="24"/>
          <w:szCs w:val="24"/>
          <w:lang w:val="es-CO" w:eastAsia="en-US"/>
        </w:rPr>
        <w:t xml:space="preserve"> el de conservación catastral, que es aplicado a un total de </w:t>
      </w:r>
      <w:r w:rsidR="00EB0887" w:rsidRPr="00DE1ADE">
        <w:rPr>
          <w:rFonts w:eastAsia="Calibri"/>
          <w:sz w:val="24"/>
          <w:szCs w:val="24"/>
          <w:lang w:val="es-CO" w:eastAsia="en-US"/>
        </w:rPr>
        <w:t>15.239</w:t>
      </w:r>
      <w:r w:rsidRPr="00DE1ADE">
        <w:rPr>
          <w:rFonts w:eastAsia="Calibri"/>
          <w:sz w:val="24"/>
          <w:szCs w:val="24"/>
          <w:lang w:val="es-CO" w:eastAsia="en-US"/>
        </w:rPr>
        <w:t xml:space="preserve"> predios en suelo urbano y rural</w:t>
      </w:r>
      <w:r w:rsidR="00722457" w:rsidRPr="00DE1ADE">
        <w:rPr>
          <w:rFonts w:eastAsia="Calibri"/>
          <w:sz w:val="24"/>
          <w:szCs w:val="24"/>
          <w:lang w:val="es-CO" w:eastAsia="en-US"/>
        </w:rPr>
        <w:t>,</w:t>
      </w:r>
      <w:r w:rsidRPr="00DE1ADE">
        <w:rPr>
          <w:rFonts w:eastAsia="Calibri"/>
          <w:sz w:val="24"/>
          <w:szCs w:val="24"/>
          <w:lang w:val="es-CO" w:eastAsia="en-US"/>
        </w:rPr>
        <w:t xml:space="preserve"> que no han sido objeto de actualización. </w:t>
      </w:r>
    </w:p>
    <w:p w14:paraId="0C352F15" w14:textId="77777777" w:rsidR="00A0581F" w:rsidRDefault="00A0581F" w:rsidP="00A0581F">
      <w:pPr>
        <w:ind w:right="51"/>
        <w:jc w:val="both"/>
        <w:rPr>
          <w:rFonts w:eastAsia="Calibri"/>
          <w:sz w:val="24"/>
          <w:szCs w:val="24"/>
          <w:lang w:val="es-CO" w:eastAsia="en-US"/>
        </w:rPr>
      </w:pPr>
    </w:p>
    <w:p w14:paraId="7344933C" w14:textId="77777777" w:rsidR="00F3587C" w:rsidRPr="00DE1ADE" w:rsidRDefault="00F3587C" w:rsidP="00A0581F">
      <w:pPr>
        <w:ind w:right="51"/>
        <w:jc w:val="both"/>
        <w:rPr>
          <w:rFonts w:eastAsia="Calibri"/>
          <w:sz w:val="24"/>
          <w:szCs w:val="24"/>
          <w:lang w:val="es-CO" w:eastAsia="en-US"/>
        </w:rPr>
      </w:pPr>
    </w:p>
    <w:p w14:paraId="6F5BEB0E" w14:textId="77777777" w:rsidR="00A0581F" w:rsidRPr="00DE1ADE" w:rsidRDefault="00A0581F" w:rsidP="00A0581F">
      <w:pPr>
        <w:ind w:right="51"/>
        <w:jc w:val="both"/>
        <w:rPr>
          <w:rFonts w:eastAsia="Calibri"/>
          <w:sz w:val="24"/>
          <w:szCs w:val="24"/>
          <w:lang w:val="es-CO" w:eastAsia="en-US"/>
        </w:rPr>
      </w:pPr>
      <w:r w:rsidRPr="00DE1ADE">
        <w:rPr>
          <w:rFonts w:eastAsia="Calibri"/>
          <w:sz w:val="24"/>
          <w:szCs w:val="24"/>
          <w:lang w:val="es-CO" w:eastAsia="en-US"/>
        </w:rPr>
        <w:lastRenderedPageBreak/>
        <w:t>Este índice debe ser aprobado por el CONFIS distrital para cada año y se convierte en el insumo para determinar el reajuste de los avalúos catastrales de los predios de conservación</w:t>
      </w:r>
      <w:r w:rsidRPr="00DE1ADE">
        <w:rPr>
          <w:rFonts w:eastAsia="Calibri"/>
          <w:sz w:val="24"/>
          <w:szCs w:val="24"/>
          <w:vertAlign w:val="superscript"/>
          <w:lang w:val="es-CO" w:eastAsia="en-US"/>
        </w:rPr>
        <w:footnoteReference w:id="9"/>
      </w:r>
      <w:r w:rsidRPr="00DE1ADE">
        <w:rPr>
          <w:rFonts w:eastAsia="Calibri"/>
          <w:sz w:val="24"/>
          <w:szCs w:val="24"/>
          <w:lang w:val="es-CO" w:eastAsia="en-US"/>
        </w:rPr>
        <w:t>, así como en el índice porcentual</w:t>
      </w:r>
      <w:r w:rsidR="00722457" w:rsidRPr="00DE1ADE">
        <w:rPr>
          <w:rFonts w:eastAsia="Calibri"/>
          <w:sz w:val="24"/>
          <w:szCs w:val="24"/>
          <w:lang w:val="es-CO" w:eastAsia="en-US"/>
        </w:rPr>
        <w:t>,</w:t>
      </w:r>
      <w:r w:rsidRPr="00DE1ADE">
        <w:rPr>
          <w:rFonts w:eastAsia="Calibri"/>
          <w:sz w:val="24"/>
          <w:szCs w:val="24"/>
          <w:lang w:val="es-CO" w:eastAsia="en-US"/>
        </w:rPr>
        <w:t xml:space="preserve"> a través del cual se incrementan anualmente los valores de la base gravable mínima del impuesto predial unificado de los predios a los cuales no se les haya fijado avalúo catastral conforme a parámetros técnicos por áreas de terreno y construcción, uso y estrato.</w:t>
      </w:r>
    </w:p>
    <w:p w14:paraId="34555B4B" w14:textId="77777777" w:rsidR="00A0581F" w:rsidRPr="00DE1ADE" w:rsidRDefault="00A0581F" w:rsidP="00A0581F">
      <w:pPr>
        <w:ind w:right="51"/>
        <w:jc w:val="both"/>
        <w:rPr>
          <w:rFonts w:eastAsia="Calibri"/>
          <w:sz w:val="24"/>
          <w:szCs w:val="24"/>
          <w:lang w:val="es-CO" w:eastAsia="en-US"/>
        </w:rPr>
      </w:pPr>
    </w:p>
    <w:p w14:paraId="499C129A" w14:textId="5AA95E56" w:rsidR="00A0581F" w:rsidRPr="00DE1ADE" w:rsidRDefault="00A0581F" w:rsidP="00A0581F">
      <w:pPr>
        <w:ind w:right="51"/>
        <w:jc w:val="both"/>
        <w:rPr>
          <w:rFonts w:eastAsia="Calibri"/>
          <w:sz w:val="24"/>
          <w:szCs w:val="24"/>
          <w:lang w:val="es-CO" w:eastAsia="en-US"/>
        </w:rPr>
      </w:pPr>
      <w:r w:rsidRPr="00DE1ADE">
        <w:rPr>
          <w:rFonts w:eastAsia="Calibri"/>
          <w:sz w:val="24"/>
          <w:szCs w:val="24"/>
          <w:lang w:val="es-CO" w:eastAsia="en-US"/>
        </w:rPr>
        <w:t xml:space="preserve">En este sentido, es importante destacar que desde hace </w:t>
      </w:r>
      <w:r w:rsidR="00A4792E" w:rsidRPr="00DE1ADE">
        <w:rPr>
          <w:rFonts w:eastAsia="Calibri"/>
          <w:sz w:val="24"/>
          <w:szCs w:val="24"/>
          <w:lang w:val="es-CO" w:eastAsia="en-US"/>
        </w:rPr>
        <w:t xml:space="preserve">nueve </w:t>
      </w:r>
      <w:r w:rsidRPr="00DE1ADE">
        <w:rPr>
          <w:rFonts w:eastAsia="Calibri"/>
          <w:sz w:val="24"/>
          <w:szCs w:val="24"/>
          <w:lang w:val="es-CO" w:eastAsia="en-US"/>
        </w:rPr>
        <w:t xml:space="preserve">años la UAECD realiza procesos de actualización permanentemente a los predios urbanos de la ciudad, razón por la cual solo aquellas nuevas unidades prediales que aparezcan luego de hacer los recorridos de reconocimiento adelantados por el Censo Inmobiliario de Bogotá – CIB- se actualizarán con este índice que como se citó anteriormente solo aplica para predios de conservación. </w:t>
      </w:r>
      <w:r w:rsidR="00A4792E" w:rsidRPr="00DE1ADE">
        <w:rPr>
          <w:rFonts w:eastAsia="Calibri"/>
          <w:sz w:val="24"/>
          <w:szCs w:val="24"/>
          <w:lang w:val="es-CO" w:eastAsia="en-US"/>
        </w:rPr>
        <w:t xml:space="preserve">Así </w:t>
      </w:r>
      <w:r w:rsidRPr="00DE1ADE">
        <w:rPr>
          <w:rFonts w:eastAsia="Calibri"/>
          <w:sz w:val="24"/>
          <w:szCs w:val="24"/>
          <w:lang w:val="es-CO" w:eastAsia="en-US"/>
        </w:rPr>
        <w:t>mismo, y dado que este año no se realizó proceso de actualización de los predios rurales del Distrito, también se aplicará un índice particular a estos predios que se encuentran en el proceso de conservación.</w:t>
      </w:r>
    </w:p>
    <w:p w14:paraId="03828D4B" w14:textId="77777777" w:rsidR="00A0581F" w:rsidRPr="00DE1ADE" w:rsidRDefault="00A0581F" w:rsidP="00A0581F">
      <w:pPr>
        <w:autoSpaceDE w:val="0"/>
        <w:autoSpaceDN w:val="0"/>
        <w:adjustRightInd w:val="0"/>
        <w:ind w:right="51"/>
        <w:jc w:val="both"/>
        <w:rPr>
          <w:rFonts w:eastAsia="Calibri"/>
          <w:sz w:val="24"/>
          <w:szCs w:val="24"/>
          <w:lang w:val="es-CO" w:eastAsia="en-US"/>
        </w:rPr>
      </w:pPr>
    </w:p>
    <w:p w14:paraId="42732693" w14:textId="2492C35E" w:rsidR="00A0581F" w:rsidRPr="00336D8D" w:rsidRDefault="00A0581F" w:rsidP="00A0581F">
      <w:pPr>
        <w:autoSpaceDE w:val="0"/>
        <w:autoSpaceDN w:val="0"/>
        <w:adjustRightInd w:val="0"/>
        <w:ind w:right="51"/>
        <w:jc w:val="both"/>
        <w:rPr>
          <w:rFonts w:eastAsia="Calibri"/>
          <w:sz w:val="24"/>
          <w:szCs w:val="24"/>
          <w:lang w:val="es-CO" w:eastAsia="en-US"/>
        </w:rPr>
      </w:pPr>
      <w:r w:rsidRPr="00DE1ADE">
        <w:rPr>
          <w:rFonts w:eastAsia="Calibri"/>
          <w:sz w:val="24"/>
          <w:szCs w:val="24"/>
          <w:lang w:val="es-CO" w:eastAsia="en-US"/>
        </w:rPr>
        <w:t xml:space="preserve">La UAECD presenta al CONFIS distrital un documento técnico que contiene los análisis del comportamiento del mercado inmobiliario de Bogotá en el último año, los resultados de los cálculos adelantados por el Catastro de Bogotá, con la información recopilada por el Censo Inmobiliario con corte a diciembre </w:t>
      </w:r>
      <w:r w:rsidR="00A4792E" w:rsidRPr="00DE1ADE">
        <w:rPr>
          <w:rFonts w:eastAsia="Calibri"/>
          <w:sz w:val="24"/>
          <w:szCs w:val="24"/>
          <w:lang w:val="es-CO" w:eastAsia="en-US"/>
        </w:rPr>
        <w:t>09</w:t>
      </w:r>
      <w:r w:rsidRPr="00DE1ADE">
        <w:rPr>
          <w:rFonts w:eastAsia="Calibri"/>
          <w:sz w:val="24"/>
          <w:szCs w:val="24"/>
          <w:lang w:val="es-CO" w:eastAsia="en-US"/>
        </w:rPr>
        <w:t xml:space="preserve"> de 201</w:t>
      </w:r>
      <w:r w:rsidR="00A4792E" w:rsidRPr="00DE1ADE">
        <w:rPr>
          <w:rFonts w:eastAsia="Calibri"/>
          <w:sz w:val="24"/>
          <w:szCs w:val="24"/>
          <w:lang w:val="es-CO" w:eastAsia="en-US"/>
        </w:rPr>
        <w:t>9</w:t>
      </w:r>
      <w:r w:rsidRPr="00DE1ADE">
        <w:rPr>
          <w:rFonts w:eastAsia="Calibri"/>
          <w:sz w:val="24"/>
          <w:szCs w:val="24"/>
          <w:lang w:val="es-CO" w:eastAsia="en-US"/>
        </w:rPr>
        <w:t>.</w:t>
      </w:r>
    </w:p>
    <w:p w14:paraId="569BB54F" w14:textId="77777777" w:rsidR="00A0581F" w:rsidRPr="00336D8D" w:rsidRDefault="00A0581F" w:rsidP="00A0581F">
      <w:pPr>
        <w:jc w:val="both"/>
        <w:rPr>
          <w:rFonts w:eastAsia="Calibri"/>
          <w:sz w:val="24"/>
          <w:szCs w:val="24"/>
          <w:lang w:val="es-CO" w:eastAsia="en-US"/>
        </w:rPr>
      </w:pPr>
    </w:p>
    <w:p w14:paraId="2E8784B9" w14:textId="77777777" w:rsidR="00A0581F" w:rsidRPr="00D92A78" w:rsidRDefault="00A0581F" w:rsidP="00A0581F">
      <w:pPr>
        <w:widowControl w:val="0"/>
        <w:autoSpaceDE w:val="0"/>
        <w:autoSpaceDN w:val="0"/>
        <w:adjustRightInd w:val="0"/>
        <w:spacing w:before="100" w:after="100"/>
        <w:ind w:left="15" w:right="15"/>
        <w:jc w:val="both"/>
        <w:rPr>
          <w:rFonts w:eastAsia="Calibri"/>
          <w:sz w:val="24"/>
          <w:szCs w:val="24"/>
          <w:lang w:val="es-CO" w:eastAsia="en-US"/>
        </w:rPr>
      </w:pPr>
      <w:r w:rsidRPr="00336D8D">
        <w:rPr>
          <w:rFonts w:eastAsia="Calibri"/>
          <w:sz w:val="24"/>
          <w:szCs w:val="24"/>
          <w:lang w:val="es-CO" w:eastAsia="en-US"/>
        </w:rPr>
        <w:t xml:space="preserve">En sesión presencial del CONFIS nº. </w:t>
      </w:r>
      <w:r w:rsidR="00B7119A">
        <w:rPr>
          <w:rFonts w:eastAsia="Calibri"/>
          <w:sz w:val="24"/>
          <w:szCs w:val="24"/>
          <w:lang w:val="es-CO" w:eastAsia="en-US"/>
        </w:rPr>
        <w:t>25</w:t>
      </w:r>
      <w:r w:rsidRPr="00336D8D">
        <w:rPr>
          <w:rFonts w:eastAsia="Calibri"/>
          <w:sz w:val="24"/>
          <w:szCs w:val="24"/>
          <w:lang w:val="es-CO" w:eastAsia="en-US"/>
        </w:rPr>
        <w:t xml:space="preserve"> llevada a cabo el </w:t>
      </w:r>
      <w:r w:rsidR="00B7119A">
        <w:rPr>
          <w:rFonts w:eastAsia="Calibri"/>
          <w:sz w:val="24"/>
          <w:szCs w:val="24"/>
          <w:lang w:val="es-CO" w:eastAsia="en-US"/>
        </w:rPr>
        <w:t>10</w:t>
      </w:r>
      <w:r w:rsidRPr="00336D8D">
        <w:rPr>
          <w:rFonts w:eastAsia="Calibri"/>
          <w:sz w:val="24"/>
          <w:szCs w:val="24"/>
          <w:lang w:val="es-CO" w:eastAsia="en-US"/>
        </w:rPr>
        <w:t xml:space="preserve"> de diciembre de 201</w:t>
      </w:r>
      <w:r w:rsidR="00B7119A">
        <w:rPr>
          <w:rFonts w:eastAsia="Calibri"/>
          <w:sz w:val="24"/>
          <w:szCs w:val="24"/>
          <w:lang w:val="es-CO" w:eastAsia="en-US"/>
        </w:rPr>
        <w:t>9</w:t>
      </w:r>
      <w:r w:rsidRPr="00336D8D">
        <w:rPr>
          <w:rFonts w:eastAsia="Calibri"/>
          <w:sz w:val="24"/>
          <w:szCs w:val="24"/>
          <w:lang w:val="es-CO" w:eastAsia="en-US"/>
        </w:rPr>
        <w:t>, se emitió concepto favorable a la adopción como porcentaje de reajuste de los avalúos catastrales de conservación para los predios urbano</w:t>
      </w:r>
      <w:r w:rsidR="00B7119A">
        <w:rPr>
          <w:rFonts w:eastAsia="Calibri"/>
          <w:sz w:val="24"/>
          <w:szCs w:val="24"/>
          <w:lang w:val="es-CO" w:eastAsia="en-US"/>
        </w:rPr>
        <w:t>s y rurales para la vigencia 2020</w:t>
      </w:r>
      <w:r w:rsidRPr="00336D8D">
        <w:rPr>
          <w:rFonts w:eastAsia="Calibri"/>
          <w:sz w:val="24"/>
          <w:szCs w:val="24"/>
          <w:lang w:val="es-CO" w:eastAsia="en-US"/>
        </w:rPr>
        <w:t>.</w:t>
      </w:r>
    </w:p>
    <w:p w14:paraId="1FFB6BB3" w14:textId="77777777" w:rsidR="00A0581F" w:rsidRDefault="00A0581F" w:rsidP="00A0581F">
      <w:pPr>
        <w:jc w:val="both"/>
        <w:rPr>
          <w:rFonts w:eastAsia="Calibri"/>
          <w:sz w:val="24"/>
          <w:szCs w:val="24"/>
          <w:lang w:val="es-CO" w:eastAsia="en-US"/>
        </w:rPr>
      </w:pPr>
    </w:p>
    <w:p w14:paraId="0B5F783D" w14:textId="77777777" w:rsidR="00A0581F" w:rsidRPr="00D92A78" w:rsidRDefault="00A0581F" w:rsidP="00A0581F">
      <w:pPr>
        <w:jc w:val="both"/>
        <w:rPr>
          <w:rFonts w:eastAsia="Calibri"/>
          <w:sz w:val="24"/>
          <w:szCs w:val="24"/>
          <w:lang w:val="es-CO" w:eastAsia="en-US"/>
        </w:rPr>
      </w:pPr>
    </w:p>
    <w:p w14:paraId="68947734" w14:textId="77777777" w:rsidR="00A0581F" w:rsidRPr="00D92A78" w:rsidRDefault="00A0581F" w:rsidP="00A0581F">
      <w:pPr>
        <w:numPr>
          <w:ilvl w:val="0"/>
          <w:numId w:val="3"/>
        </w:numPr>
        <w:ind w:left="357" w:hanging="357"/>
        <w:jc w:val="both"/>
        <w:rPr>
          <w:rFonts w:eastAsia="Calibri"/>
          <w:b/>
          <w:bCs/>
          <w:smallCaps/>
          <w:sz w:val="24"/>
          <w:szCs w:val="24"/>
          <w:lang w:val="es-CO" w:eastAsia="en-US"/>
        </w:rPr>
      </w:pPr>
      <w:r w:rsidRPr="00D92A78">
        <w:rPr>
          <w:rFonts w:eastAsia="Calibri"/>
          <w:b/>
          <w:bCs/>
          <w:smallCaps/>
          <w:sz w:val="24"/>
          <w:szCs w:val="24"/>
          <w:lang w:val="es-CO" w:eastAsia="en-US"/>
        </w:rPr>
        <w:t>Descripción básica de la estructura del decreto</w:t>
      </w:r>
    </w:p>
    <w:p w14:paraId="22ADE4D4" w14:textId="77777777" w:rsidR="00A0581F" w:rsidRPr="00D92A78" w:rsidRDefault="00A0581F" w:rsidP="00A0581F">
      <w:pPr>
        <w:jc w:val="both"/>
        <w:rPr>
          <w:rFonts w:eastAsia="Calibri"/>
          <w:b/>
          <w:bCs/>
          <w:smallCaps/>
          <w:sz w:val="24"/>
          <w:szCs w:val="24"/>
          <w:lang w:val="es-CO" w:eastAsia="en-US"/>
        </w:rPr>
      </w:pPr>
    </w:p>
    <w:p w14:paraId="4CBF6643" w14:textId="203F98DC" w:rsidR="00A0581F" w:rsidRPr="00D92A78" w:rsidRDefault="00A0581F" w:rsidP="00A0581F">
      <w:pPr>
        <w:jc w:val="both"/>
        <w:rPr>
          <w:rFonts w:eastAsia="Calibri"/>
          <w:sz w:val="24"/>
          <w:szCs w:val="24"/>
          <w:lang w:val="es-CO" w:eastAsia="en-US"/>
        </w:rPr>
      </w:pPr>
      <w:r w:rsidRPr="00D92A78">
        <w:rPr>
          <w:rFonts w:eastAsia="Calibri"/>
          <w:sz w:val="24"/>
          <w:szCs w:val="24"/>
          <w:lang w:val="es-CO" w:eastAsia="en-US"/>
        </w:rPr>
        <w:t>El proyecto de Decreto se estructura en un capítulo único conformado por</w:t>
      </w:r>
      <w:r w:rsidR="000F5EB9">
        <w:rPr>
          <w:rFonts w:eastAsia="Calibri"/>
          <w:sz w:val="24"/>
          <w:szCs w:val="24"/>
          <w:lang w:val="es-CO" w:eastAsia="en-US"/>
        </w:rPr>
        <w:t xml:space="preserve"> </w:t>
      </w:r>
      <w:r w:rsidR="007F1785">
        <w:rPr>
          <w:rFonts w:eastAsia="Calibri"/>
          <w:sz w:val="24"/>
          <w:szCs w:val="24"/>
          <w:lang w:val="es-CO" w:eastAsia="en-US"/>
        </w:rPr>
        <w:t xml:space="preserve">tres </w:t>
      </w:r>
      <w:r w:rsidRPr="00D92A78">
        <w:rPr>
          <w:rFonts w:eastAsia="Calibri"/>
          <w:sz w:val="24"/>
          <w:szCs w:val="24"/>
          <w:lang w:val="es-CO" w:eastAsia="en-US"/>
        </w:rPr>
        <w:t xml:space="preserve">artículos. Un primer </w:t>
      </w:r>
      <w:r w:rsidR="000F5EB9" w:rsidRPr="00D92A78">
        <w:rPr>
          <w:rFonts w:eastAsia="Calibri"/>
          <w:sz w:val="24"/>
          <w:szCs w:val="24"/>
          <w:lang w:val="es-CO" w:eastAsia="en-US"/>
        </w:rPr>
        <w:t>artículo determina</w:t>
      </w:r>
      <w:r w:rsidR="007F1785" w:rsidRPr="00D92A78">
        <w:rPr>
          <w:rFonts w:eastAsia="Calibri"/>
          <w:sz w:val="24"/>
          <w:szCs w:val="24"/>
          <w:lang w:val="es-CO" w:eastAsia="en-US"/>
        </w:rPr>
        <w:t xml:space="preserve"> el porcentaje de reajuste de los avalúos catastrales de conservación de los predios urbanos que no fueron actualizados en virtud de los trabajos realizados durante 201</w:t>
      </w:r>
      <w:r w:rsidR="007F1785">
        <w:rPr>
          <w:rFonts w:eastAsia="Calibri"/>
          <w:sz w:val="24"/>
          <w:szCs w:val="24"/>
          <w:lang w:val="es-CO" w:eastAsia="en-US"/>
        </w:rPr>
        <w:t>9</w:t>
      </w:r>
      <w:r w:rsidR="00DE1ADE">
        <w:rPr>
          <w:rFonts w:eastAsia="Calibri"/>
          <w:sz w:val="24"/>
          <w:szCs w:val="24"/>
          <w:lang w:val="es-CO" w:eastAsia="en-US"/>
        </w:rPr>
        <w:t xml:space="preserve">. </w:t>
      </w:r>
      <w:r w:rsidRPr="00D92A78">
        <w:rPr>
          <w:rFonts w:eastAsia="Calibri"/>
          <w:sz w:val="24"/>
          <w:szCs w:val="24"/>
          <w:lang w:val="es-CO" w:eastAsia="en-US"/>
        </w:rPr>
        <w:t xml:space="preserve">Un segundo artículo </w:t>
      </w:r>
      <w:r w:rsidR="007F1785" w:rsidRPr="00D92A78">
        <w:rPr>
          <w:rFonts w:eastAsia="Calibri"/>
          <w:sz w:val="24"/>
          <w:szCs w:val="24"/>
          <w:lang w:val="es-CO" w:eastAsia="en-US"/>
        </w:rPr>
        <w:t>determina el porcentaje de reajuste de los avalúos catastrales de conservación de los predios rurales que no fueron actualizados en virtud de los trabajos realizados durante 201</w:t>
      </w:r>
      <w:r w:rsidR="007F1785">
        <w:rPr>
          <w:rFonts w:eastAsia="Calibri"/>
          <w:sz w:val="24"/>
          <w:szCs w:val="24"/>
          <w:lang w:val="es-CO" w:eastAsia="en-US"/>
        </w:rPr>
        <w:t>9</w:t>
      </w:r>
      <w:r w:rsidR="007F1785" w:rsidRPr="00D92A78">
        <w:rPr>
          <w:rFonts w:eastAsia="Calibri"/>
          <w:sz w:val="24"/>
          <w:szCs w:val="24"/>
          <w:lang w:val="es-CO" w:eastAsia="en-US"/>
        </w:rPr>
        <w:t xml:space="preserve">. </w:t>
      </w:r>
      <w:r w:rsidR="00DE1ADE">
        <w:rPr>
          <w:rFonts w:eastAsia="Calibri"/>
          <w:sz w:val="24"/>
          <w:szCs w:val="24"/>
          <w:lang w:val="es-CO" w:eastAsia="en-US"/>
        </w:rPr>
        <w:t xml:space="preserve">El </w:t>
      </w:r>
      <w:r w:rsidR="00DE1ADE">
        <w:rPr>
          <w:rFonts w:eastAsia="Calibri"/>
          <w:sz w:val="24"/>
          <w:szCs w:val="24"/>
          <w:lang w:val="es-CO" w:eastAsia="en-US"/>
        </w:rPr>
        <w:t>t</w:t>
      </w:r>
      <w:r w:rsidRPr="00D92A78">
        <w:rPr>
          <w:rFonts w:eastAsia="Calibri"/>
          <w:sz w:val="24"/>
          <w:szCs w:val="24"/>
          <w:lang w:val="es-CO" w:eastAsia="en-US"/>
        </w:rPr>
        <w:t>ercer artículo establece la entrada en vigencia del Decreto.</w:t>
      </w:r>
    </w:p>
    <w:p w14:paraId="65C3000A" w14:textId="77777777" w:rsidR="00A0581F" w:rsidRPr="00D92A78" w:rsidRDefault="00A0581F" w:rsidP="00A0581F">
      <w:pPr>
        <w:jc w:val="both"/>
        <w:rPr>
          <w:rFonts w:eastAsia="Calibri"/>
          <w:sz w:val="24"/>
          <w:szCs w:val="24"/>
          <w:lang w:val="es-CO" w:eastAsia="en-US"/>
        </w:rPr>
      </w:pPr>
    </w:p>
    <w:p w14:paraId="04E56876" w14:textId="49F0C1B3" w:rsidR="00A0581F" w:rsidRPr="00D92A78" w:rsidRDefault="00A0581F" w:rsidP="00A0581F">
      <w:pPr>
        <w:jc w:val="both"/>
        <w:rPr>
          <w:rFonts w:eastAsia="Calibri"/>
          <w:sz w:val="24"/>
          <w:szCs w:val="24"/>
          <w:lang w:val="es-CO" w:eastAsia="en-US"/>
        </w:rPr>
      </w:pPr>
      <w:r w:rsidRPr="00D92A78">
        <w:rPr>
          <w:rFonts w:eastAsia="Calibri"/>
          <w:sz w:val="24"/>
          <w:szCs w:val="24"/>
          <w:lang w:val="es-CO" w:eastAsia="en-US"/>
        </w:rPr>
        <w:lastRenderedPageBreak/>
        <w:t xml:space="preserve">Por último y en cumplimiento de lo ordenado en el numeral 8º del artículo 8º de la Ley 1437 de 2011, Código de Procedimiento Administrativo y de lo Contencioso Administrativo, la Unidad Administrativa Especial de Catastro Distrital publicó en su sitio web: wwww.catastrodistrital.gov.co el proyecto de decreto desde el </w:t>
      </w:r>
      <w:r w:rsidR="00F5321A">
        <w:rPr>
          <w:rFonts w:eastAsia="Calibri"/>
          <w:sz w:val="24"/>
          <w:szCs w:val="24"/>
          <w:lang w:val="es-CO" w:eastAsia="en-US"/>
        </w:rPr>
        <w:t>17</w:t>
      </w:r>
      <w:r w:rsidRPr="00D92A78">
        <w:rPr>
          <w:rFonts w:eastAsia="Calibri"/>
          <w:sz w:val="24"/>
          <w:szCs w:val="24"/>
          <w:lang w:val="es-CO" w:eastAsia="en-US"/>
        </w:rPr>
        <w:t xml:space="preserve"> al </w:t>
      </w:r>
      <w:r w:rsidR="00F5321A">
        <w:rPr>
          <w:rFonts w:eastAsia="Calibri"/>
          <w:sz w:val="24"/>
          <w:szCs w:val="24"/>
          <w:lang w:val="es-CO" w:eastAsia="en-US"/>
        </w:rPr>
        <w:t>23</w:t>
      </w:r>
      <w:r w:rsidRPr="00D92A78">
        <w:rPr>
          <w:rFonts w:eastAsia="Calibri"/>
          <w:sz w:val="24"/>
          <w:szCs w:val="24"/>
          <w:lang w:val="es-CO" w:eastAsia="en-US"/>
        </w:rPr>
        <w:t xml:space="preserve"> de diciembre de 201</w:t>
      </w:r>
      <w:r w:rsidR="00B7119A">
        <w:rPr>
          <w:rFonts w:eastAsia="Calibri"/>
          <w:sz w:val="24"/>
          <w:szCs w:val="24"/>
          <w:lang w:val="es-CO" w:eastAsia="en-US"/>
        </w:rPr>
        <w:t>9</w:t>
      </w:r>
      <w:r w:rsidRPr="00D92A78">
        <w:rPr>
          <w:rFonts w:eastAsia="Calibri"/>
          <w:sz w:val="24"/>
          <w:szCs w:val="24"/>
          <w:lang w:val="es-CO" w:eastAsia="en-US"/>
        </w:rPr>
        <w:t>, término en el cual no se recibió observación</w:t>
      </w:r>
      <w:r w:rsidR="00722457">
        <w:rPr>
          <w:rFonts w:eastAsia="Calibri"/>
          <w:sz w:val="24"/>
          <w:szCs w:val="24"/>
          <w:lang w:val="es-CO" w:eastAsia="en-US"/>
        </w:rPr>
        <w:t>, por parte de la ciudadanía</w:t>
      </w:r>
      <w:r w:rsidRPr="00D92A78">
        <w:rPr>
          <w:rFonts w:eastAsia="Calibri"/>
          <w:sz w:val="24"/>
          <w:szCs w:val="24"/>
          <w:lang w:val="es-CO" w:eastAsia="en-US"/>
        </w:rPr>
        <w:t>.</w:t>
      </w:r>
    </w:p>
    <w:p w14:paraId="6FE52EC3" w14:textId="77777777" w:rsidR="00A0581F" w:rsidRPr="00D92A78" w:rsidRDefault="00A0581F" w:rsidP="00A0581F">
      <w:pPr>
        <w:jc w:val="both"/>
        <w:rPr>
          <w:rFonts w:eastAsia="Calibri"/>
          <w:sz w:val="24"/>
          <w:szCs w:val="24"/>
          <w:lang w:val="es-CO" w:eastAsia="en-US"/>
        </w:rPr>
      </w:pPr>
      <w:bookmarkStart w:id="0" w:name="_GoBack"/>
      <w:bookmarkEnd w:id="0"/>
    </w:p>
    <w:p w14:paraId="463FDC03" w14:textId="77777777" w:rsidR="00A0581F" w:rsidRPr="00042B76" w:rsidRDefault="00A0581F" w:rsidP="00A0581F">
      <w:pPr>
        <w:jc w:val="both"/>
        <w:rPr>
          <w:b/>
          <w:sz w:val="24"/>
          <w:szCs w:val="24"/>
          <w:lang w:val="es-CO"/>
        </w:rPr>
      </w:pPr>
    </w:p>
    <w:p w14:paraId="1AE82B98" w14:textId="77777777" w:rsidR="00A0581F" w:rsidRPr="00D92A78" w:rsidRDefault="00A0581F" w:rsidP="00A0581F">
      <w:pPr>
        <w:jc w:val="both"/>
        <w:rPr>
          <w:b/>
          <w:sz w:val="24"/>
          <w:szCs w:val="24"/>
        </w:rPr>
      </w:pPr>
    </w:p>
    <w:p w14:paraId="57DD2B27" w14:textId="77777777" w:rsidR="00A0581F" w:rsidRPr="00D92A78" w:rsidRDefault="00A0581F" w:rsidP="00A0581F">
      <w:pPr>
        <w:jc w:val="both"/>
        <w:rPr>
          <w:b/>
          <w:sz w:val="24"/>
          <w:szCs w:val="24"/>
        </w:rPr>
      </w:pPr>
    </w:p>
    <w:p w14:paraId="5ACD5534" w14:textId="77777777" w:rsidR="00A0581F" w:rsidRPr="00D92A78" w:rsidRDefault="00A0581F" w:rsidP="00A0581F">
      <w:pPr>
        <w:jc w:val="both"/>
        <w:rPr>
          <w:b/>
          <w:sz w:val="24"/>
          <w:szCs w:val="24"/>
        </w:rPr>
      </w:pPr>
    </w:p>
    <w:p w14:paraId="124A8429" w14:textId="77777777" w:rsidR="00A0581F" w:rsidRPr="00D92A78" w:rsidRDefault="00A0581F" w:rsidP="00A0581F">
      <w:pPr>
        <w:jc w:val="both"/>
        <w:rPr>
          <w:b/>
          <w:sz w:val="24"/>
          <w:szCs w:val="24"/>
        </w:rPr>
      </w:pPr>
    </w:p>
    <w:p w14:paraId="4FBCCB52" w14:textId="77777777" w:rsidR="00A0581F" w:rsidRPr="00D92A78" w:rsidRDefault="00B7119A" w:rsidP="00A0581F">
      <w:pPr>
        <w:pStyle w:val="NormalWeb"/>
        <w:spacing w:before="0" w:beforeAutospacing="0" w:after="0" w:afterAutospacing="0"/>
        <w:jc w:val="center"/>
      </w:pPr>
      <w:r>
        <w:t xml:space="preserve">BEATRIZ ELENA </w:t>
      </w:r>
      <w:r w:rsidRPr="00B7119A">
        <w:t xml:space="preserve">ARBELÁEZ </w:t>
      </w:r>
      <w:r>
        <w:t>MARTÍNEZ</w:t>
      </w:r>
    </w:p>
    <w:p w14:paraId="18D0EBFF" w14:textId="77777777" w:rsidR="00A0581F" w:rsidRPr="00D92A78" w:rsidRDefault="00B7119A" w:rsidP="00A0581F">
      <w:pPr>
        <w:pStyle w:val="NormalWeb"/>
        <w:spacing w:before="0" w:beforeAutospacing="0" w:after="0" w:afterAutospacing="0"/>
        <w:jc w:val="center"/>
      </w:pPr>
      <w:r>
        <w:t>Secretaria</w:t>
      </w:r>
      <w:r w:rsidR="00A0581F" w:rsidRPr="00D92A78">
        <w:t xml:space="preserve"> Distrital de Hacienda</w:t>
      </w:r>
    </w:p>
    <w:p w14:paraId="21FA5BFF" w14:textId="77777777" w:rsidR="00A0581F" w:rsidRPr="00D92A78" w:rsidRDefault="00A0581F" w:rsidP="00A0581F">
      <w:pPr>
        <w:pStyle w:val="NormalWeb"/>
        <w:spacing w:before="0" w:beforeAutospacing="0" w:after="0" w:afterAutospacing="0"/>
        <w:jc w:val="center"/>
        <w:rPr>
          <w:bCs/>
        </w:rPr>
      </w:pPr>
    </w:p>
    <w:p w14:paraId="1CA80E9F" w14:textId="77777777" w:rsidR="00A0581F" w:rsidRPr="00D92A78" w:rsidRDefault="00A0581F" w:rsidP="00A0581F">
      <w:pPr>
        <w:pStyle w:val="NormalWeb"/>
        <w:spacing w:before="0" w:beforeAutospacing="0" w:after="0" w:afterAutospacing="0"/>
        <w:jc w:val="center"/>
        <w:rPr>
          <w:bCs/>
        </w:rPr>
      </w:pPr>
    </w:p>
    <w:p w14:paraId="76459A16" w14:textId="77777777" w:rsidR="00A0581F" w:rsidRPr="00D92A78" w:rsidRDefault="00A0581F" w:rsidP="00A0581F">
      <w:pPr>
        <w:pStyle w:val="NormalWeb"/>
        <w:spacing w:before="0" w:beforeAutospacing="0" w:after="0" w:afterAutospacing="0"/>
        <w:jc w:val="both"/>
        <w:rPr>
          <w:bCs/>
        </w:rPr>
      </w:pPr>
    </w:p>
    <w:p w14:paraId="67354443" w14:textId="77777777" w:rsidR="00A0581F" w:rsidRPr="00D92A78" w:rsidRDefault="00A0581F" w:rsidP="00A0581F">
      <w:pPr>
        <w:pStyle w:val="NormalWeb"/>
        <w:spacing w:before="0" w:beforeAutospacing="0" w:after="0" w:afterAutospacing="0"/>
        <w:jc w:val="both"/>
        <w:rPr>
          <w:bCs/>
        </w:rPr>
      </w:pPr>
    </w:p>
    <w:p w14:paraId="0188AB5D" w14:textId="77777777" w:rsidR="00E557D6" w:rsidRDefault="00E557D6" w:rsidP="00A0581F">
      <w:pPr>
        <w:pStyle w:val="NormalWeb"/>
        <w:spacing w:before="0" w:beforeAutospacing="0" w:after="0" w:afterAutospacing="0"/>
        <w:jc w:val="center"/>
      </w:pPr>
      <w:r w:rsidRPr="00E557D6">
        <w:t xml:space="preserve">LEONARDO ARTURO PAZOS GALINDO </w:t>
      </w:r>
    </w:p>
    <w:p w14:paraId="7322CD46" w14:textId="77777777" w:rsidR="00A0581F" w:rsidRPr="00D92A78" w:rsidRDefault="00E557D6" w:rsidP="00A0581F">
      <w:pPr>
        <w:pStyle w:val="NormalWeb"/>
        <w:spacing w:before="0" w:beforeAutospacing="0" w:after="0" w:afterAutospacing="0"/>
        <w:jc w:val="center"/>
        <w:rPr>
          <w:bCs/>
        </w:rPr>
      </w:pPr>
      <w:r>
        <w:rPr>
          <w:bCs/>
        </w:rPr>
        <w:t>Director Jurídico</w:t>
      </w:r>
    </w:p>
    <w:p w14:paraId="1929E301" w14:textId="77777777" w:rsidR="00A0581F" w:rsidRPr="00D92A78" w:rsidRDefault="00A0581F" w:rsidP="00A0581F">
      <w:pPr>
        <w:pStyle w:val="NormalWeb"/>
        <w:spacing w:before="0" w:beforeAutospacing="0" w:after="0" w:afterAutospacing="0"/>
        <w:jc w:val="both"/>
        <w:rPr>
          <w:bCs/>
        </w:rPr>
      </w:pPr>
    </w:p>
    <w:p w14:paraId="76F66405" w14:textId="77777777" w:rsidR="00A0581F" w:rsidRPr="00D92A78" w:rsidRDefault="00A0581F" w:rsidP="00A0581F">
      <w:pPr>
        <w:pStyle w:val="NormalWeb"/>
        <w:spacing w:before="0" w:beforeAutospacing="0" w:after="0" w:afterAutospacing="0"/>
        <w:jc w:val="both"/>
        <w:rPr>
          <w:bCs/>
        </w:rPr>
      </w:pPr>
    </w:p>
    <w:p w14:paraId="6567F8AB" w14:textId="77777777" w:rsidR="00A0581F" w:rsidRPr="00D92A78" w:rsidRDefault="00A0581F" w:rsidP="00A0581F">
      <w:pPr>
        <w:pStyle w:val="NormalWeb"/>
        <w:spacing w:before="0" w:beforeAutospacing="0" w:after="0" w:afterAutospacing="0"/>
        <w:jc w:val="both"/>
        <w:rPr>
          <w:bCs/>
        </w:rPr>
      </w:pPr>
    </w:p>
    <w:p w14:paraId="60BBA4D7" w14:textId="77777777" w:rsidR="00A0581F" w:rsidRPr="00D92A78" w:rsidRDefault="00A0581F" w:rsidP="00A0581F">
      <w:pPr>
        <w:pStyle w:val="NormalWeb"/>
        <w:spacing w:before="0" w:beforeAutospacing="0" w:after="0" w:afterAutospacing="0"/>
        <w:jc w:val="both"/>
        <w:rPr>
          <w:bCs/>
        </w:rPr>
      </w:pPr>
    </w:p>
    <w:p w14:paraId="19AFBB74" w14:textId="77777777" w:rsidR="00B7119A" w:rsidRDefault="00B7119A" w:rsidP="00A0581F">
      <w:pPr>
        <w:pStyle w:val="NormalWeb"/>
        <w:spacing w:before="0" w:beforeAutospacing="0" w:after="0" w:afterAutospacing="0"/>
        <w:jc w:val="center"/>
      </w:pPr>
      <w:r w:rsidRPr="00B7119A">
        <w:t xml:space="preserve">YENNY CAROLINA ROZO GÓMEZ </w:t>
      </w:r>
    </w:p>
    <w:p w14:paraId="05B70179" w14:textId="77777777" w:rsidR="00A0581F" w:rsidRPr="00D92A78" w:rsidRDefault="00A0581F" w:rsidP="00A0581F">
      <w:pPr>
        <w:pStyle w:val="NormalWeb"/>
        <w:spacing w:before="0" w:beforeAutospacing="0" w:after="0" w:afterAutospacing="0"/>
        <w:jc w:val="center"/>
      </w:pPr>
      <w:r w:rsidRPr="00D92A78">
        <w:t>Directora de la Unidad Administrativa Especial de Catastro Distrital</w:t>
      </w:r>
    </w:p>
    <w:p w14:paraId="58C03880" w14:textId="77777777" w:rsidR="00A0581F" w:rsidRPr="00D92A78" w:rsidRDefault="00A0581F" w:rsidP="00A0581F">
      <w:pPr>
        <w:pStyle w:val="NormalWeb"/>
        <w:spacing w:before="0" w:beforeAutospacing="0" w:after="0" w:afterAutospacing="0"/>
        <w:jc w:val="center"/>
        <w:rPr>
          <w:bCs/>
        </w:rPr>
      </w:pPr>
    </w:p>
    <w:p w14:paraId="61447385" w14:textId="77777777" w:rsidR="00A0581F" w:rsidRPr="00D92A78" w:rsidRDefault="00A0581F" w:rsidP="00A0581F">
      <w:pPr>
        <w:pStyle w:val="NormalWeb"/>
        <w:spacing w:before="0" w:beforeAutospacing="0" w:after="0" w:afterAutospacing="0"/>
        <w:jc w:val="center"/>
        <w:rPr>
          <w:bCs/>
        </w:rPr>
      </w:pPr>
    </w:p>
    <w:p w14:paraId="1A109A2C" w14:textId="77777777" w:rsidR="00A0581F" w:rsidRPr="00D92A78" w:rsidRDefault="00A0581F" w:rsidP="00A0581F">
      <w:pPr>
        <w:pStyle w:val="NormalWeb"/>
        <w:spacing w:before="0" w:beforeAutospacing="0" w:after="0" w:afterAutospacing="0"/>
        <w:jc w:val="both"/>
        <w:rPr>
          <w:bCs/>
        </w:rPr>
      </w:pPr>
    </w:p>
    <w:p w14:paraId="09F75032" w14:textId="77777777" w:rsidR="00A0581F" w:rsidRPr="00D92A78" w:rsidRDefault="00A0581F" w:rsidP="00A0581F">
      <w:pPr>
        <w:pStyle w:val="NormalWeb"/>
        <w:spacing w:before="0" w:beforeAutospacing="0" w:after="0" w:afterAutospacing="0"/>
        <w:jc w:val="both"/>
        <w:rPr>
          <w:bCs/>
        </w:rPr>
      </w:pPr>
    </w:p>
    <w:p w14:paraId="6FCC4934" w14:textId="77777777" w:rsidR="00A0581F" w:rsidRDefault="00B7119A" w:rsidP="00A0581F">
      <w:pPr>
        <w:pStyle w:val="NormalWeb"/>
        <w:spacing w:before="0" w:beforeAutospacing="0" w:after="0" w:afterAutospacing="0"/>
        <w:jc w:val="center"/>
      </w:pPr>
      <w:r>
        <w:t>MANUEL ÁVILA OLARTE</w:t>
      </w:r>
    </w:p>
    <w:p w14:paraId="0B215531" w14:textId="77777777" w:rsidR="00A0581F" w:rsidRPr="00D92A78" w:rsidRDefault="00A0581F" w:rsidP="00A0581F">
      <w:pPr>
        <w:pStyle w:val="NormalWeb"/>
        <w:spacing w:before="0" w:beforeAutospacing="0" w:after="0" w:afterAutospacing="0"/>
        <w:jc w:val="center"/>
        <w:rPr>
          <w:bCs/>
        </w:rPr>
      </w:pPr>
      <w:r w:rsidRPr="009251BA">
        <w:rPr>
          <w:bCs/>
        </w:rPr>
        <w:t xml:space="preserve"> </w:t>
      </w:r>
      <w:r w:rsidRPr="00D92A78">
        <w:rPr>
          <w:bCs/>
        </w:rPr>
        <w:t>J</w:t>
      </w:r>
      <w:r w:rsidR="00B7119A">
        <w:rPr>
          <w:bCs/>
        </w:rPr>
        <w:t>efe de Oficina Asesora Jurídica</w:t>
      </w:r>
      <w:r w:rsidRPr="00D92A78">
        <w:rPr>
          <w:bCs/>
        </w:rPr>
        <w:t>- UAECD</w:t>
      </w:r>
    </w:p>
    <w:p w14:paraId="18CDF1AD" w14:textId="77777777" w:rsidR="00A0581F" w:rsidRDefault="00A0581F" w:rsidP="00A0581F">
      <w:pPr>
        <w:pStyle w:val="NormalWeb"/>
        <w:spacing w:before="0" w:beforeAutospacing="0" w:after="0" w:afterAutospacing="0"/>
        <w:rPr>
          <w:rFonts w:ascii="Arial" w:hAnsi="Arial" w:cs="Arial"/>
          <w:bCs/>
        </w:rPr>
      </w:pPr>
    </w:p>
    <w:p w14:paraId="2FBD2828" w14:textId="77777777" w:rsidR="00A0581F" w:rsidRDefault="00A0581F" w:rsidP="00A0581F">
      <w:pPr>
        <w:pStyle w:val="NormalWeb"/>
        <w:spacing w:before="0" w:beforeAutospacing="0" w:after="0" w:afterAutospacing="0"/>
        <w:rPr>
          <w:rFonts w:ascii="Arial" w:hAnsi="Arial" w:cs="Arial"/>
          <w:bCs/>
        </w:rPr>
      </w:pP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4922"/>
        <w:gridCol w:w="2927"/>
      </w:tblGrid>
      <w:tr w:rsidR="00A0581F" w:rsidRPr="001F2232" w14:paraId="5AA1D673" w14:textId="77777777" w:rsidTr="009F3BE4">
        <w:trPr>
          <w:cantSplit/>
        </w:trPr>
        <w:tc>
          <w:tcPr>
            <w:tcW w:w="634" w:type="pct"/>
            <w:shd w:val="clear" w:color="auto" w:fill="auto"/>
          </w:tcPr>
          <w:p w14:paraId="06BA43C0" w14:textId="77777777" w:rsidR="00A0581F" w:rsidRDefault="00A0581F" w:rsidP="009F3BE4">
            <w:pPr>
              <w:jc w:val="both"/>
              <w:rPr>
                <w:rFonts w:ascii="Arial" w:hAnsi="Arial" w:cs="Arial"/>
                <w:sz w:val="12"/>
                <w:szCs w:val="12"/>
              </w:rPr>
            </w:pPr>
            <w:r>
              <w:rPr>
                <w:rFonts w:ascii="Arial" w:hAnsi="Arial" w:cs="Arial"/>
                <w:sz w:val="12"/>
                <w:szCs w:val="12"/>
              </w:rPr>
              <w:t>Aprobado por:</w:t>
            </w:r>
          </w:p>
        </w:tc>
        <w:tc>
          <w:tcPr>
            <w:tcW w:w="2738" w:type="pct"/>
            <w:shd w:val="clear" w:color="auto" w:fill="auto"/>
          </w:tcPr>
          <w:p w14:paraId="32C5DF96" w14:textId="77777777" w:rsidR="00A0581F" w:rsidRPr="00646A8E" w:rsidRDefault="00E557D6" w:rsidP="009F3BE4">
            <w:pPr>
              <w:jc w:val="both"/>
              <w:rPr>
                <w:rFonts w:ascii="Arial" w:hAnsi="Arial" w:cs="Arial"/>
                <w:iCs/>
                <w:sz w:val="12"/>
                <w:szCs w:val="12"/>
              </w:rPr>
            </w:pPr>
            <w:r>
              <w:rPr>
                <w:rFonts w:ascii="Arial" w:hAnsi="Arial" w:cs="Arial"/>
                <w:iCs/>
                <w:sz w:val="12"/>
                <w:szCs w:val="12"/>
              </w:rPr>
              <w:t>María Angélica Acero Sotelo</w:t>
            </w:r>
            <w:r w:rsidR="00A0581F" w:rsidRPr="009251BA">
              <w:rPr>
                <w:rFonts w:ascii="Arial" w:hAnsi="Arial" w:cs="Arial"/>
                <w:iCs/>
                <w:sz w:val="12"/>
                <w:szCs w:val="12"/>
              </w:rPr>
              <w:t xml:space="preserve"> </w:t>
            </w:r>
            <w:r w:rsidR="00A0581F" w:rsidRPr="00646A8E">
              <w:rPr>
                <w:rFonts w:ascii="Arial" w:hAnsi="Arial" w:cs="Arial"/>
                <w:iCs/>
                <w:sz w:val="12"/>
                <w:szCs w:val="12"/>
              </w:rPr>
              <w:t>– Gerente de Información Catastral UAECD</w:t>
            </w:r>
            <w:r>
              <w:rPr>
                <w:rFonts w:ascii="Arial" w:hAnsi="Arial" w:cs="Arial"/>
                <w:iCs/>
                <w:sz w:val="12"/>
                <w:szCs w:val="12"/>
              </w:rPr>
              <w:t xml:space="preserve"> (e)</w:t>
            </w:r>
          </w:p>
          <w:p w14:paraId="6C1F583A" w14:textId="77777777" w:rsidR="00A0581F" w:rsidRDefault="00A0581F" w:rsidP="009F3BE4">
            <w:pPr>
              <w:jc w:val="both"/>
              <w:rPr>
                <w:rFonts w:ascii="Arial" w:hAnsi="Arial" w:cs="Arial"/>
                <w:iCs/>
                <w:sz w:val="12"/>
                <w:szCs w:val="12"/>
              </w:rPr>
            </w:pPr>
            <w:r w:rsidRPr="00DC2ED9">
              <w:rPr>
                <w:rFonts w:ascii="Arial" w:hAnsi="Arial" w:cs="Arial"/>
                <w:iCs/>
                <w:sz w:val="12"/>
                <w:szCs w:val="12"/>
              </w:rPr>
              <w:t>José Alejandro Herrera Lozano – Subsecretario Técnico SDH</w:t>
            </w:r>
          </w:p>
        </w:tc>
        <w:tc>
          <w:tcPr>
            <w:tcW w:w="1628" w:type="pct"/>
            <w:shd w:val="clear" w:color="auto" w:fill="auto"/>
          </w:tcPr>
          <w:p w14:paraId="0988A801" w14:textId="77777777" w:rsidR="00A0581F" w:rsidRPr="00D524D9" w:rsidRDefault="00A0581F" w:rsidP="009F3BE4">
            <w:pPr>
              <w:jc w:val="both"/>
              <w:rPr>
                <w:rFonts w:ascii="Arial" w:hAnsi="Arial" w:cs="Arial"/>
                <w:sz w:val="12"/>
                <w:szCs w:val="12"/>
              </w:rPr>
            </w:pPr>
          </w:p>
        </w:tc>
      </w:tr>
      <w:tr w:rsidR="00A0581F" w:rsidRPr="001F2232" w14:paraId="1F3B5024" w14:textId="77777777" w:rsidTr="00DE1ADE">
        <w:trPr>
          <w:cantSplit/>
          <w:trHeight w:val="53"/>
        </w:trPr>
        <w:tc>
          <w:tcPr>
            <w:tcW w:w="634" w:type="pct"/>
            <w:shd w:val="clear" w:color="auto" w:fill="auto"/>
          </w:tcPr>
          <w:p w14:paraId="0DACDA70" w14:textId="77777777" w:rsidR="00A0581F" w:rsidRPr="001F2232" w:rsidRDefault="00A0581F" w:rsidP="009F3BE4">
            <w:pPr>
              <w:jc w:val="both"/>
              <w:rPr>
                <w:rFonts w:ascii="Arial" w:hAnsi="Arial" w:cs="Arial"/>
                <w:sz w:val="12"/>
                <w:szCs w:val="12"/>
              </w:rPr>
            </w:pPr>
            <w:r>
              <w:rPr>
                <w:rFonts w:ascii="Arial" w:hAnsi="Arial" w:cs="Arial"/>
                <w:sz w:val="12"/>
                <w:szCs w:val="12"/>
              </w:rPr>
              <w:t>Revisado por:</w:t>
            </w:r>
          </w:p>
        </w:tc>
        <w:tc>
          <w:tcPr>
            <w:tcW w:w="2738" w:type="pct"/>
            <w:shd w:val="clear" w:color="auto" w:fill="auto"/>
          </w:tcPr>
          <w:p w14:paraId="3B44BA4D" w14:textId="77777777" w:rsidR="00A0581F" w:rsidRPr="00444059" w:rsidRDefault="00A0581F" w:rsidP="009F3BE4">
            <w:pPr>
              <w:jc w:val="both"/>
              <w:rPr>
                <w:rFonts w:ascii="Arial" w:hAnsi="Arial" w:cs="Arial"/>
                <w:iCs/>
                <w:sz w:val="12"/>
                <w:szCs w:val="12"/>
              </w:rPr>
            </w:pPr>
            <w:r w:rsidRPr="00E557D6">
              <w:rPr>
                <w:rFonts w:ascii="Arial" w:hAnsi="Arial" w:cs="Arial"/>
                <w:iCs/>
                <w:sz w:val="12"/>
                <w:szCs w:val="12"/>
                <w:highlight w:val="yellow"/>
              </w:rPr>
              <w:t>Sebastián Morillo Carrillo –</w:t>
            </w:r>
            <w:r>
              <w:rPr>
                <w:rFonts w:ascii="Arial" w:hAnsi="Arial" w:cs="Arial"/>
                <w:iCs/>
                <w:sz w:val="12"/>
                <w:szCs w:val="12"/>
              </w:rPr>
              <w:t xml:space="preserve"> Profesional Subdirección Jurídica de Hacienda - SDH</w:t>
            </w:r>
          </w:p>
        </w:tc>
        <w:tc>
          <w:tcPr>
            <w:tcW w:w="1628" w:type="pct"/>
            <w:shd w:val="clear" w:color="auto" w:fill="auto"/>
          </w:tcPr>
          <w:p w14:paraId="56ABFDFA" w14:textId="77777777" w:rsidR="00A0581F" w:rsidRPr="00D524D9" w:rsidRDefault="00A0581F" w:rsidP="009F3BE4">
            <w:pPr>
              <w:jc w:val="both"/>
              <w:rPr>
                <w:rFonts w:ascii="Arial" w:hAnsi="Arial" w:cs="Arial"/>
                <w:sz w:val="12"/>
                <w:szCs w:val="12"/>
              </w:rPr>
            </w:pPr>
          </w:p>
        </w:tc>
      </w:tr>
      <w:tr w:rsidR="00A0581F" w:rsidRPr="001F2232" w14:paraId="34932816" w14:textId="77777777" w:rsidTr="009F3BE4">
        <w:trPr>
          <w:cantSplit/>
        </w:trPr>
        <w:tc>
          <w:tcPr>
            <w:tcW w:w="634" w:type="pct"/>
            <w:shd w:val="clear" w:color="auto" w:fill="auto"/>
          </w:tcPr>
          <w:p w14:paraId="417E3345" w14:textId="77777777" w:rsidR="00A0581F" w:rsidRPr="001F2232" w:rsidRDefault="00A0581F" w:rsidP="009F3BE4">
            <w:pPr>
              <w:jc w:val="both"/>
              <w:rPr>
                <w:rFonts w:ascii="Arial" w:hAnsi="Arial" w:cs="Arial"/>
                <w:sz w:val="12"/>
                <w:szCs w:val="12"/>
              </w:rPr>
            </w:pPr>
            <w:r w:rsidRPr="001F2232">
              <w:rPr>
                <w:rFonts w:ascii="Arial" w:hAnsi="Arial" w:cs="Arial"/>
                <w:sz w:val="12"/>
                <w:szCs w:val="12"/>
              </w:rPr>
              <w:t>Proyectado por:</w:t>
            </w:r>
          </w:p>
        </w:tc>
        <w:tc>
          <w:tcPr>
            <w:tcW w:w="2738" w:type="pct"/>
            <w:shd w:val="clear" w:color="auto" w:fill="auto"/>
          </w:tcPr>
          <w:p w14:paraId="2181AEC4" w14:textId="77777777" w:rsidR="00A0581F" w:rsidRPr="00646A8E" w:rsidRDefault="00A0581F" w:rsidP="009F3BE4">
            <w:pPr>
              <w:rPr>
                <w:rFonts w:ascii="Arial" w:hAnsi="Arial" w:cs="Arial"/>
                <w:iCs/>
                <w:sz w:val="12"/>
                <w:szCs w:val="12"/>
              </w:rPr>
            </w:pPr>
            <w:r w:rsidRPr="009251BA">
              <w:rPr>
                <w:rFonts w:ascii="Arial" w:hAnsi="Arial" w:cs="Arial"/>
                <w:iCs/>
                <w:sz w:val="12"/>
                <w:szCs w:val="12"/>
              </w:rPr>
              <w:t xml:space="preserve">Arturo Camargo Lozano </w:t>
            </w:r>
            <w:r w:rsidRPr="00646A8E">
              <w:rPr>
                <w:rFonts w:ascii="Arial" w:hAnsi="Arial" w:cs="Arial"/>
                <w:iCs/>
                <w:sz w:val="12"/>
                <w:szCs w:val="12"/>
              </w:rPr>
              <w:t>– Asesor Dirección UAECD</w:t>
            </w:r>
          </w:p>
          <w:p w14:paraId="071A60BC" w14:textId="77777777" w:rsidR="00A0581F" w:rsidRPr="00646A8E" w:rsidRDefault="00A0581F" w:rsidP="009F3BE4">
            <w:pPr>
              <w:rPr>
                <w:rFonts w:ascii="Arial" w:hAnsi="Arial" w:cs="Arial"/>
                <w:iCs/>
                <w:sz w:val="12"/>
                <w:szCs w:val="12"/>
              </w:rPr>
            </w:pPr>
            <w:r w:rsidRPr="00646A8E">
              <w:rPr>
                <w:rFonts w:ascii="Arial" w:hAnsi="Arial" w:cs="Arial"/>
                <w:iCs/>
                <w:sz w:val="12"/>
                <w:szCs w:val="12"/>
              </w:rPr>
              <w:t>Francia Helena Vargas Bolívar - Asesor Dirección UAECD</w:t>
            </w:r>
          </w:p>
          <w:p w14:paraId="19FDC35F" w14:textId="77777777" w:rsidR="00A0581F" w:rsidRPr="00D524D9" w:rsidRDefault="00E557D6" w:rsidP="009F3BE4">
            <w:pPr>
              <w:jc w:val="both"/>
              <w:rPr>
                <w:rFonts w:ascii="Arial" w:hAnsi="Arial" w:cs="Arial"/>
                <w:iCs/>
                <w:sz w:val="12"/>
                <w:szCs w:val="12"/>
              </w:rPr>
            </w:pPr>
            <w:r>
              <w:rPr>
                <w:rFonts w:ascii="Arial" w:hAnsi="Arial" w:cs="Arial"/>
                <w:iCs/>
                <w:sz w:val="12"/>
                <w:szCs w:val="12"/>
              </w:rPr>
              <w:t>Alexander Forero Vergara</w:t>
            </w:r>
            <w:r w:rsidR="00A0581F">
              <w:rPr>
                <w:rFonts w:ascii="Arial" w:hAnsi="Arial" w:cs="Arial"/>
                <w:iCs/>
                <w:sz w:val="12"/>
                <w:szCs w:val="12"/>
              </w:rPr>
              <w:t xml:space="preserve"> </w:t>
            </w:r>
            <w:r w:rsidR="00A0581F" w:rsidRPr="00646A8E">
              <w:rPr>
                <w:rFonts w:ascii="Arial" w:hAnsi="Arial" w:cs="Arial"/>
                <w:iCs/>
                <w:sz w:val="12"/>
                <w:szCs w:val="12"/>
              </w:rPr>
              <w:t xml:space="preserve"> – Profesi</w:t>
            </w:r>
            <w:r w:rsidR="00A0581F">
              <w:rPr>
                <w:rFonts w:ascii="Arial" w:hAnsi="Arial" w:cs="Arial"/>
                <w:iCs/>
                <w:sz w:val="12"/>
                <w:szCs w:val="12"/>
              </w:rPr>
              <w:t>onal Oficina Asesora Jurídica UAECD</w:t>
            </w:r>
          </w:p>
        </w:tc>
        <w:tc>
          <w:tcPr>
            <w:tcW w:w="1628" w:type="pct"/>
            <w:shd w:val="clear" w:color="auto" w:fill="auto"/>
          </w:tcPr>
          <w:p w14:paraId="373CDA65" w14:textId="77777777" w:rsidR="00A0581F" w:rsidRPr="00D524D9" w:rsidRDefault="00A0581F" w:rsidP="009F3BE4">
            <w:pPr>
              <w:jc w:val="both"/>
              <w:rPr>
                <w:rFonts w:ascii="Arial" w:hAnsi="Arial" w:cs="Arial"/>
                <w:sz w:val="12"/>
                <w:szCs w:val="12"/>
              </w:rPr>
            </w:pPr>
          </w:p>
        </w:tc>
      </w:tr>
    </w:tbl>
    <w:p w14:paraId="0C75B434" w14:textId="77777777" w:rsidR="00A0581F" w:rsidRPr="00646A8E" w:rsidRDefault="00A0581F" w:rsidP="00A0581F">
      <w:pPr>
        <w:autoSpaceDN w:val="0"/>
        <w:textAlignment w:val="baseline"/>
      </w:pPr>
    </w:p>
    <w:p w14:paraId="1A8EEB10" w14:textId="77777777" w:rsidR="00606463" w:rsidRPr="00A0581F" w:rsidRDefault="00606463" w:rsidP="00B7119A"/>
    <w:sectPr w:rsidR="00606463" w:rsidRPr="00A0581F" w:rsidSect="00722457">
      <w:headerReference w:type="default" r:id="rId9"/>
      <w:footerReference w:type="even" r:id="rId10"/>
      <w:footerReference w:type="default" r:id="rId11"/>
      <w:pgSz w:w="12242" w:h="15842" w:code="1"/>
      <w:pgMar w:top="1985" w:right="1469" w:bottom="1985" w:left="1701" w:header="567" w:footer="567"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590A85" w15:done="0"/>
  <w15:commentEx w15:paraId="39D956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590A85" w16cid:durableId="21A4E8FC"/>
  <w16cid:commentId w16cid:paraId="39D956F8" w16cid:durableId="21A4F2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9BE4B" w14:textId="77777777" w:rsidR="00CF4CBD" w:rsidRDefault="00CF4CBD">
      <w:r>
        <w:separator/>
      </w:r>
    </w:p>
  </w:endnote>
  <w:endnote w:type="continuationSeparator" w:id="0">
    <w:p w14:paraId="005F35E0" w14:textId="77777777" w:rsidR="00CF4CBD" w:rsidRDefault="00CF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8DB63" w14:textId="77777777" w:rsidR="005B322D" w:rsidRDefault="005B322D">
    <w:pPr>
      <w:pStyle w:val="Piedepgina"/>
    </w:pPr>
  </w:p>
  <w:p w14:paraId="496565FE" w14:textId="77777777" w:rsidR="00FA5EE7" w:rsidRDefault="005302E9">
    <w:r>
      <w:rPr>
        <w:noProof/>
        <w:lang w:val="es-CO" w:eastAsia="es-CO"/>
      </w:rPr>
      <mc:AlternateContent>
        <mc:Choice Requires="wps">
          <w:drawing>
            <wp:anchor distT="0" distB="0" distL="114300" distR="114300" simplePos="0" relativeHeight="251655680" behindDoc="0" locked="0" layoutInCell="1" allowOverlap="1" wp14:anchorId="3C81F6BB" wp14:editId="60E3312F">
              <wp:simplePos x="0" y="0"/>
              <wp:positionH relativeFrom="column">
                <wp:posOffset>2181860</wp:posOffset>
              </wp:positionH>
              <wp:positionV relativeFrom="paragraph">
                <wp:posOffset>9441180</wp:posOffset>
              </wp:positionV>
              <wp:extent cx="3928110" cy="4089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96819"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74B5CCC"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2133F685"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61852242" w14:textId="77777777" w:rsidR="005B322D" w:rsidRDefault="005B322D" w:rsidP="005B3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81F6BB"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YtQ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" filled="f" stroked="f">
              <v:textbox>
                <w:txbxContent>
                  <w:p w14:paraId="4AE96819"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74B5CCC"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2133F685"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61852242" w14:textId="77777777" w:rsidR="005B322D" w:rsidRDefault="005B322D" w:rsidP="005B322D"/>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3072C" w14:textId="77777777" w:rsidR="005909CE" w:rsidRDefault="005B04A3" w:rsidP="007F7A9B">
    <w:pPr>
      <w:shd w:val="solid" w:color="FFFFFF" w:fill="FFFFFF"/>
      <w:tabs>
        <w:tab w:val="left" w:pos="600"/>
        <w:tab w:val="left" w:pos="8880"/>
      </w:tabs>
      <w:rPr>
        <w:rFonts w:ascii="Arial" w:hAnsi="Arial" w:cs="Arial"/>
        <w:b/>
        <w:bCs/>
      </w:rPr>
    </w:pPr>
    <w:r>
      <w:rPr>
        <w:rFonts w:ascii="Arial" w:hAnsi="Arial" w:cs="Arial"/>
        <w:b/>
        <w:bCs/>
        <w:noProof/>
        <w:lang w:val="es-CO" w:eastAsia="es-CO"/>
      </w:rPr>
      <w:drawing>
        <wp:anchor distT="0" distB="0" distL="114300" distR="114300" simplePos="0" relativeHeight="251665408" behindDoc="0" locked="0" layoutInCell="1" allowOverlap="1" wp14:anchorId="06E2BC55" wp14:editId="435FBDB4">
          <wp:simplePos x="0" y="0"/>
          <wp:positionH relativeFrom="column">
            <wp:posOffset>1652270</wp:posOffset>
          </wp:positionH>
          <wp:positionV relativeFrom="paragraph">
            <wp:posOffset>-400050</wp:posOffset>
          </wp:positionV>
          <wp:extent cx="654685" cy="719455"/>
          <wp:effectExtent l="0" t="0" r="5715" b="444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selogoSGSfinal.jpg"/>
                  <pic:cNvPicPr/>
                </pic:nvPicPr>
                <pic:blipFill>
                  <a:blip r:embed="rId1">
                    <a:extLst>
                      <a:ext uri="{28A0092B-C50C-407E-A947-70E740481C1C}">
                        <a14:useLocalDpi xmlns:a14="http://schemas.microsoft.com/office/drawing/2010/main" val="0"/>
                      </a:ext>
                    </a:extLst>
                  </a:blip>
                  <a:stretch>
                    <a:fillRect/>
                  </a:stretch>
                </pic:blipFill>
                <pic:spPr>
                  <a:xfrm>
                    <a:off x="0" y="0"/>
                    <a:ext cx="654685" cy="719455"/>
                  </a:xfrm>
                  <a:prstGeom prst="rect">
                    <a:avLst/>
                  </a:prstGeom>
                </pic:spPr>
              </pic:pic>
            </a:graphicData>
          </a:graphic>
          <wp14:sizeRelH relativeFrom="margin">
            <wp14:pctWidth>0</wp14:pctWidth>
          </wp14:sizeRelH>
          <wp14:sizeRelV relativeFrom="margin">
            <wp14:pctHeight>0</wp14:pctHeight>
          </wp14:sizeRelV>
        </wp:anchor>
      </w:drawing>
    </w:r>
    <w:r w:rsidR="00A20D63">
      <w:rPr>
        <w:noProof/>
        <w:lang w:val="es-CO" w:eastAsia="es-CO"/>
      </w:rPr>
      <mc:AlternateContent>
        <mc:Choice Requires="wps">
          <w:drawing>
            <wp:anchor distT="0" distB="0" distL="114300" distR="114300" simplePos="0" relativeHeight="251659264" behindDoc="0" locked="0" layoutInCell="1" allowOverlap="1" wp14:anchorId="4AFD7E67" wp14:editId="79E7115A">
              <wp:simplePos x="0" y="0"/>
              <wp:positionH relativeFrom="column">
                <wp:posOffset>-325120</wp:posOffset>
              </wp:positionH>
              <wp:positionV relativeFrom="paragraph">
                <wp:posOffset>-388924</wp:posOffset>
              </wp:positionV>
              <wp:extent cx="1491615" cy="699135"/>
              <wp:effectExtent l="0" t="0" r="0" b="5715"/>
              <wp:wrapSquare wrapText="bothSides"/>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587F8" w14:textId="77777777" w:rsidR="00A20D63" w:rsidRPr="00152F99" w:rsidRDefault="00A20D63" w:rsidP="00A20D63">
                          <w:pPr>
                            <w:rPr>
                              <w:rFonts w:ascii="Arial" w:hAnsi="Arial" w:cs="Arial"/>
                              <w:sz w:val="12"/>
                              <w:szCs w:val="12"/>
                            </w:rPr>
                          </w:pPr>
                          <w:r w:rsidRPr="00152F99">
                            <w:rPr>
                              <w:rFonts w:ascii="Arial" w:hAnsi="Arial" w:cs="Arial"/>
                              <w:sz w:val="12"/>
                              <w:szCs w:val="12"/>
                            </w:rPr>
                            <w:t>Carrera 30 No. 25-90</w:t>
                          </w:r>
                        </w:p>
                        <w:p w14:paraId="6B0DEFD6" w14:textId="77777777" w:rsidR="00A20D63" w:rsidRPr="00152F99" w:rsidRDefault="00A20D63" w:rsidP="00A20D63">
                          <w:pPr>
                            <w:rPr>
                              <w:rFonts w:ascii="Arial" w:hAnsi="Arial" w:cs="Arial"/>
                              <w:sz w:val="12"/>
                              <w:szCs w:val="12"/>
                            </w:rPr>
                          </w:pPr>
                          <w:r w:rsidRPr="00152F99">
                            <w:rPr>
                              <w:rFonts w:ascii="Arial" w:hAnsi="Arial" w:cs="Arial"/>
                              <w:sz w:val="12"/>
                              <w:szCs w:val="12"/>
                            </w:rPr>
                            <w:t>Código Postal 111311</w:t>
                          </w:r>
                        </w:p>
                        <w:p w14:paraId="10B6CE2B" w14:textId="77777777" w:rsidR="00A20D63" w:rsidRPr="00152F99" w:rsidRDefault="00A20D63" w:rsidP="00A20D63">
                          <w:pPr>
                            <w:rPr>
                              <w:rFonts w:ascii="Arial" w:hAnsi="Arial" w:cs="Arial"/>
                              <w:sz w:val="12"/>
                              <w:szCs w:val="12"/>
                            </w:rPr>
                          </w:pPr>
                          <w:r w:rsidRPr="00152F99">
                            <w:rPr>
                              <w:rFonts w:ascii="Arial" w:hAnsi="Arial" w:cs="Arial"/>
                              <w:sz w:val="12"/>
                              <w:szCs w:val="12"/>
                            </w:rPr>
                            <w:t>PBX: (571) 338 5000</w:t>
                          </w:r>
                        </w:p>
                        <w:p w14:paraId="501010FA" w14:textId="77777777" w:rsidR="00A20D63" w:rsidRPr="00152F99" w:rsidRDefault="00A20D63" w:rsidP="00A20D63">
                          <w:pPr>
                            <w:rPr>
                              <w:rFonts w:ascii="Arial" w:hAnsi="Arial" w:cs="Arial"/>
                              <w:sz w:val="12"/>
                              <w:szCs w:val="12"/>
                            </w:rPr>
                          </w:pPr>
                          <w:r w:rsidRPr="00152F99">
                            <w:rPr>
                              <w:rFonts w:ascii="Arial" w:hAnsi="Arial" w:cs="Arial"/>
                              <w:sz w:val="12"/>
                              <w:szCs w:val="12"/>
                            </w:rPr>
                            <w:t>Info</w:t>
                          </w:r>
                          <w:r>
                            <w:rPr>
                              <w:rFonts w:ascii="Arial" w:hAnsi="Arial" w:cs="Arial"/>
                              <w:sz w:val="12"/>
                              <w:szCs w:val="12"/>
                            </w:rPr>
                            <w:t>rmación</w:t>
                          </w:r>
                          <w:r w:rsidRPr="00152F99">
                            <w:rPr>
                              <w:rFonts w:ascii="Arial" w:hAnsi="Arial" w:cs="Arial"/>
                              <w:sz w:val="12"/>
                              <w:szCs w:val="12"/>
                            </w:rPr>
                            <w:t>: Línea 195</w:t>
                          </w:r>
                        </w:p>
                        <w:p w14:paraId="136819FE" w14:textId="77777777" w:rsidR="00A20D63" w:rsidRPr="00152F99" w:rsidRDefault="00A20D63" w:rsidP="00A20D63">
                          <w:pPr>
                            <w:rPr>
                              <w:rFonts w:ascii="Arial" w:hAnsi="Arial" w:cs="Arial"/>
                              <w:sz w:val="12"/>
                              <w:szCs w:val="12"/>
                            </w:rPr>
                          </w:pPr>
                          <w:r w:rsidRPr="00152F99">
                            <w:rPr>
                              <w:rFonts w:ascii="Arial" w:hAnsi="Arial" w:cs="Arial"/>
                              <w:sz w:val="12"/>
                              <w:szCs w:val="12"/>
                            </w:rPr>
                            <w:t>www.haciendabogota.gov.co</w:t>
                          </w:r>
                        </w:p>
                        <w:p w14:paraId="1BB9F094" w14:textId="77777777" w:rsidR="00A20D63" w:rsidRPr="00152F99" w:rsidRDefault="00CF4CBD" w:rsidP="00A20D63">
                          <w:pPr>
                            <w:rPr>
                              <w:rFonts w:ascii="Arial" w:hAnsi="Arial" w:cs="Arial"/>
                              <w:sz w:val="12"/>
                              <w:szCs w:val="12"/>
                            </w:rPr>
                          </w:pPr>
                          <w:hyperlink r:id="rId2" w:history="1">
                            <w:r w:rsidR="00A20D63" w:rsidRPr="00152F99">
                              <w:rPr>
                                <w:rFonts w:ascii="Arial" w:hAnsi="Arial" w:cs="Arial"/>
                                <w:sz w:val="12"/>
                                <w:szCs w:val="12"/>
                              </w:rPr>
                              <w:t>contactenos@shd.gov.co</w:t>
                            </w:r>
                          </w:hyperlink>
                        </w:p>
                        <w:p w14:paraId="474F264C" w14:textId="77777777" w:rsidR="00A20D63" w:rsidRPr="00152F99" w:rsidRDefault="00A20D63" w:rsidP="00A20D63">
                          <w:pPr>
                            <w:rPr>
                              <w:rFonts w:ascii="Arial" w:hAnsi="Arial" w:cs="Arial"/>
                              <w:sz w:val="12"/>
                              <w:szCs w:val="12"/>
                            </w:rPr>
                          </w:pPr>
                          <w:r w:rsidRPr="00152F99">
                            <w:rPr>
                              <w:rFonts w:ascii="Arial" w:hAnsi="Arial" w:cs="Arial"/>
                              <w:sz w:val="12"/>
                              <w:szCs w:val="12"/>
                            </w:rPr>
                            <w:t>Nit. 899.999.061-9</w:t>
                          </w:r>
                        </w:p>
                        <w:p w14:paraId="427D04DB" w14:textId="77777777" w:rsidR="00A20D63" w:rsidRPr="00152F99" w:rsidRDefault="00A20D63" w:rsidP="00A20D63">
                          <w:pPr>
                            <w:rPr>
                              <w:rFonts w:ascii="Arial" w:hAnsi="Arial" w:cs="Arial"/>
                              <w:sz w:val="12"/>
                              <w:szCs w:val="12"/>
                            </w:rPr>
                          </w:pPr>
                          <w:r w:rsidRPr="00152F99">
                            <w:rPr>
                              <w:rFonts w:ascii="Arial" w:hAnsi="Arial" w:cs="Arial"/>
                              <w:sz w:val="12"/>
                              <w:szCs w:val="12"/>
                            </w:rPr>
                            <w:t>Bogotá, Distrito Capital – Colombia</w:t>
                          </w:r>
                        </w:p>
                        <w:p w14:paraId="513017D4" w14:textId="77777777" w:rsidR="000741F2" w:rsidRPr="003626D5" w:rsidRDefault="000741F2" w:rsidP="000741F2">
                          <w:pPr>
                            <w:rPr>
                              <w:rFonts w:ascii="Arial" w:hAnsi="Arial" w:cs="Arial"/>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FD7E67" id="_x0000_t202" coordsize="21600,21600" o:spt="202" path="m,l,21600r21600,l21600,xe">
              <v:stroke joinstyle="miter"/>
              <v:path gradientshapeok="t" o:connecttype="rect"/>
            </v:shapetype>
            <v:shape id="Text Box 42" o:spid="_x0000_s1027" type="#_x0000_t202" style="position:absolute;margin-left:-25.6pt;margin-top:-30.6pt;width:117.45pt;height: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rEfgIAAAc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" stroked="f">
              <v:textbox inset="0,0,0,0">
                <w:txbxContent>
                  <w:p w14:paraId="0E1587F8" w14:textId="77777777" w:rsidR="00A20D63" w:rsidRPr="00152F99" w:rsidRDefault="00A20D63" w:rsidP="00A20D63">
                    <w:pPr>
                      <w:rPr>
                        <w:rFonts w:ascii="Arial" w:hAnsi="Arial" w:cs="Arial"/>
                        <w:sz w:val="12"/>
                        <w:szCs w:val="12"/>
                      </w:rPr>
                    </w:pPr>
                    <w:r w:rsidRPr="00152F99">
                      <w:rPr>
                        <w:rFonts w:ascii="Arial" w:hAnsi="Arial" w:cs="Arial"/>
                        <w:sz w:val="12"/>
                        <w:szCs w:val="12"/>
                      </w:rPr>
                      <w:t>Carrera 30 No. 25-90</w:t>
                    </w:r>
                  </w:p>
                  <w:p w14:paraId="6B0DEFD6" w14:textId="77777777" w:rsidR="00A20D63" w:rsidRPr="00152F99" w:rsidRDefault="00A20D63" w:rsidP="00A20D63">
                    <w:pPr>
                      <w:rPr>
                        <w:rFonts w:ascii="Arial" w:hAnsi="Arial" w:cs="Arial"/>
                        <w:sz w:val="12"/>
                        <w:szCs w:val="12"/>
                      </w:rPr>
                    </w:pPr>
                    <w:r w:rsidRPr="00152F99">
                      <w:rPr>
                        <w:rFonts w:ascii="Arial" w:hAnsi="Arial" w:cs="Arial"/>
                        <w:sz w:val="12"/>
                        <w:szCs w:val="12"/>
                      </w:rPr>
                      <w:t>Código Postal 111311</w:t>
                    </w:r>
                  </w:p>
                  <w:p w14:paraId="10B6CE2B" w14:textId="77777777" w:rsidR="00A20D63" w:rsidRPr="00152F99" w:rsidRDefault="00A20D63" w:rsidP="00A20D63">
                    <w:pPr>
                      <w:rPr>
                        <w:rFonts w:ascii="Arial" w:hAnsi="Arial" w:cs="Arial"/>
                        <w:sz w:val="12"/>
                        <w:szCs w:val="12"/>
                      </w:rPr>
                    </w:pPr>
                    <w:r w:rsidRPr="00152F99">
                      <w:rPr>
                        <w:rFonts w:ascii="Arial" w:hAnsi="Arial" w:cs="Arial"/>
                        <w:sz w:val="12"/>
                        <w:szCs w:val="12"/>
                      </w:rPr>
                      <w:t>PBX: (571) 338 5000</w:t>
                    </w:r>
                  </w:p>
                  <w:p w14:paraId="501010FA" w14:textId="77777777" w:rsidR="00A20D63" w:rsidRPr="00152F99" w:rsidRDefault="00A20D63" w:rsidP="00A20D63">
                    <w:pPr>
                      <w:rPr>
                        <w:rFonts w:ascii="Arial" w:hAnsi="Arial" w:cs="Arial"/>
                        <w:sz w:val="12"/>
                        <w:szCs w:val="12"/>
                      </w:rPr>
                    </w:pPr>
                    <w:r w:rsidRPr="00152F99">
                      <w:rPr>
                        <w:rFonts w:ascii="Arial" w:hAnsi="Arial" w:cs="Arial"/>
                        <w:sz w:val="12"/>
                        <w:szCs w:val="12"/>
                      </w:rPr>
                      <w:t>Info</w:t>
                    </w:r>
                    <w:r>
                      <w:rPr>
                        <w:rFonts w:ascii="Arial" w:hAnsi="Arial" w:cs="Arial"/>
                        <w:sz w:val="12"/>
                        <w:szCs w:val="12"/>
                      </w:rPr>
                      <w:t>rmación</w:t>
                    </w:r>
                    <w:r w:rsidRPr="00152F99">
                      <w:rPr>
                        <w:rFonts w:ascii="Arial" w:hAnsi="Arial" w:cs="Arial"/>
                        <w:sz w:val="12"/>
                        <w:szCs w:val="12"/>
                      </w:rPr>
                      <w:t>: Línea 195</w:t>
                    </w:r>
                  </w:p>
                  <w:p w14:paraId="136819FE" w14:textId="77777777" w:rsidR="00A20D63" w:rsidRPr="00152F99" w:rsidRDefault="00A20D63" w:rsidP="00A20D63">
                    <w:pPr>
                      <w:rPr>
                        <w:rFonts w:ascii="Arial" w:hAnsi="Arial" w:cs="Arial"/>
                        <w:sz w:val="12"/>
                        <w:szCs w:val="12"/>
                      </w:rPr>
                    </w:pPr>
                    <w:r w:rsidRPr="00152F99">
                      <w:rPr>
                        <w:rFonts w:ascii="Arial" w:hAnsi="Arial" w:cs="Arial"/>
                        <w:sz w:val="12"/>
                        <w:szCs w:val="12"/>
                      </w:rPr>
                      <w:t>www.haciendabogota.gov.co</w:t>
                    </w:r>
                  </w:p>
                  <w:p w14:paraId="1BB9F094" w14:textId="77777777" w:rsidR="00A20D63" w:rsidRPr="00152F99" w:rsidRDefault="009E0C22" w:rsidP="00A20D63">
                    <w:pPr>
                      <w:rPr>
                        <w:rFonts w:ascii="Arial" w:hAnsi="Arial" w:cs="Arial"/>
                        <w:sz w:val="12"/>
                        <w:szCs w:val="12"/>
                      </w:rPr>
                    </w:pPr>
                    <w:hyperlink r:id="rId3" w:history="1">
                      <w:r w:rsidR="00A20D63" w:rsidRPr="00152F99">
                        <w:rPr>
                          <w:rFonts w:ascii="Arial" w:hAnsi="Arial" w:cs="Arial"/>
                          <w:sz w:val="12"/>
                          <w:szCs w:val="12"/>
                        </w:rPr>
                        <w:t>contactenos@shd.gov.co</w:t>
                      </w:r>
                    </w:hyperlink>
                  </w:p>
                  <w:p w14:paraId="474F264C" w14:textId="77777777" w:rsidR="00A20D63" w:rsidRPr="00152F99" w:rsidRDefault="00A20D63" w:rsidP="00A20D63">
                    <w:pPr>
                      <w:rPr>
                        <w:rFonts w:ascii="Arial" w:hAnsi="Arial" w:cs="Arial"/>
                        <w:sz w:val="12"/>
                        <w:szCs w:val="12"/>
                      </w:rPr>
                    </w:pPr>
                    <w:r w:rsidRPr="00152F99">
                      <w:rPr>
                        <w:rFonts w:ascii="Arial" w:hAnsi="Arial" w:cs="Arial"/>
                        <w:sz w:val="12"/>
                        <w:szCs w:val="12"/>
                      </w:rPr>
                      <w:t>Nit. 899.999.061-9</w:t>
                    </w:r>
                  </w:p>
                  <w:p w14:paraId="427D04DB" w14:textId="77777777" w:rsidR="00A20D63" w:rsidRPr="00152F99" w:rsidRDefault="00A20D63" w:rsidP="00A20D63">
                    <w:pPr>
                      <w:rPr>
                        <w:rFonts w:ascii="Arial" w:hAnsi="Arial" w:cs="Arial"/>
                        <w:sz w:val="12"/>
                        <w:szCs w:val="12"/>
                      </w:rPr>
                    </w:pPr>
                    <w:r w:rsidRPr="00152F99">
                      <w:rPr>
                        <w:rFonts w:ascii="Arial" w:hAnsi="Arial" w:cs="Arial"/>
                        <w:sz w:val="12"/>
                        <w:szCs w:val="12"/>
                      </w:rPr>
                      <w:t>Bogotá, Distrito Capital – Colombia</w:t>
                    </w:r>
                  </w:p>
                  <w:p w14:paraId="513017D4" w14:textId="77777777" w:rsidR="000741F2" w:rsidRPr="003626D5" w:rsidRDefault="000741F2" w:rsidP="000741F2">
                    <w:pPr>
                      <w:rPr>
                        <w:rFonts w:ascii="Arial" w:hAnsi="Arial" w:cs="Arial"/>
                        <w:sz w:val="12"/>
                        <w:szCs w:val="12"/>
                      </w:rPr>
                    </w:pPr>
                  </w:p>
                </w:txbxContent>
              </v:textbox>
              <w10:wrap type="square"/>
            </v:shape>
          </w:pict>
        </mc:Fallback>
      </mc:AlternateContent>
    </w:r>
    <w:r w:rsidR="0033242D">
      <w:rPr>
        <w:noProof/>
        <w:lang w:val="es-CO" w:eastAsia="es-CO"/>
      </w:rPr>
      <w:drawing>
        <wp:anchor distT="0" distB="0" distL="114300" distR="114300" simplePos="0" relativeHeight="251663360" behindDoc="0" locked="0" layoutInCell="1" allowOverlap="1" wp14:anchorId="3091A507" wp14:editId="5E74D6C8">
          <wp:simplePos x="0" y="0"/>
          <wp:positionH relativeFrom="margin">
            <wp:posOffset>4609465</wp:posOffset>
          </wp:positionH>
          <wp:positionV relativeFrom="paragraph">
            <wp:posOffset>-403225</wp:posOffset>
          </wp:positionV>
          <wp:extent cx="1008380" cy="718820"/>
          <wp:effectExtent l="0" t="0" r="1270"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rmat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8380" cy="718820"/>
                  </a:xfrm>
                  <a:prstGeom prst="rect">
                    <a:avLst/>
                  </a:prstGeom>
                </pic:spPr>
              </pic:pic>
            </a:graphicData>
          </a:graphic>
        </wp:anchor>
      </w:drawing>
    </w:r>
    <w:r w:rsidR="005302E9">
      <w:rPr>
        <w:noProof/>
        <w:lang w:val="es-CO" w:eastAsia="es-CO"/>
      </w:rPr>
      <mc:AlternateContent>
        <mc:Choice Requires="wps">
          <w:drawing>
            <wp:anchor distT="0" distB="0" distL="114300" distR="114300" simplePos="0" relativeHeight="251658752" behindDoc="0" locked="0" layoutInCell="1" allowOverlap="1" wp14:anchorId="43609D4F" wp14:editId="6C7FB3B1">
              <wp:simplePos x="0" y="0"/>
              <wp:positionH relativeFrom="column">
                <wp:posOffset>1272540</wp:posOffset>
              </wp:positionH>
              <wp:positionV relativeFrom="paragraph">
                <wp:posOffset>-405765</wp:posOffset>
              </wp:positionV>
              <wp:extent cx="0" cy="720090"/>
              <wp:effectExtent l="0" t="0" r="0" b="0"/>
              <wp:wrapNone/>
              <wp:docPr id="1"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6F242C" id="_x0000_t32" coordsize="21600,21600" o:spt="32" o:oned="t" path="m,l21600,21600e" filled="f">
              <v:path arrowok="t" fillok="f" o:connecttype="none"/>
              <o:lock v:ext="edit" shapetype="t"/>
            </v:shapetype>
            <v:shape id="AutoShape 140" o:spid="_x0000_s1026" type="#_x0000_t32" style="position:absolute;margin-left:100.2pt;margin-top:-31.95pt;width:0;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" strokeweight="1pt"/>
          </w:pict>
        </mc:Fallback>
      </mc:AlternateContent>
    </w:r>
  </w:p>
  <w:p w14:paraId="63771373" w14:textId="77777777" w:rsidR="00FA5EE7" w:rsidRDefault="00FA5EE7" w:rsidP="007F7A9B">
    <w:pPr>
      <w:shd w:val="solid" w:color="FFFFFF" w:fill="FFFFFF"/>
      <w:tabs>
        <w:tab w:val="left" w:pos="600"/>
        <w:tab w:val="left" w:pos="8880"/>
      </w:tabs>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53E6F" w14:textId="77777777" w:rsidR="00CF4CBD" w:rsidRDefault="00CF4CBD">
      <w:r>
        <w:separator/>
      </w:r>
    </w:p>
  </w:footnote>
  <w:footnote w:type="continuationSeparator" w:id="0">
    <w:p w14:paraId="793527CC" w14:textId="77777777" w:rsidR="00CF4CBD" w:rsidRDefault="00CF4CBD">
      <w:r>
        <w:continuationSeparator/>
      </w:r>
    </w:p>
  </w:footnote>
  <w:footnote w:id="1">
    <w:p w14:paraId="13068E22" w14:textId="77777777" w:rsidR="00A0581F" w:rsidRPr="009E154E" w:rsidRDefault="00A0581F" w:rsidP="00A0581F">
      <w:pPr>
        <w:jc w:val="both"/>
      </w:pPr>
      <w:r w:rsidRPr="009E154E">
        <w:rPr>
          <w:rStyle w:val="Refdenotaalpie"/>
        </w:rPr>
        <w:footnoteRef/>
      </w:r>
      <w:r w:rsidRPr="009E154E">
        <w:t xml:space="preserve"> </w:t>
      </w:r>
      <w:r w:rsidRPr="009E154E">
        <w:rPr>
          <w:lang w:eastAsia="es-CO"/>
        </w:rPr>
        <w:t xml:space="preserve">Diario Oficial </w:t>
      </w:r>
      <w:r>
        <w:rPr>
          <w:lang w:eastAsia="es-CO"/>
        </w:rPr>
        <w:t>n°</w:t>
      </w:r>
      <w:r w:rsidRPr="009E154E">
        <w:rPr>
          <w:lang w:eastAsia="es-CO"/>
        </w:rPr>
        <w:t xml:space="preserve"> 44.100, de 26 de julio del 2000.</w:t>
      </w:r>
    </w:p>
  </w:footnote>
  <w:footnote w:id="2">
    <w:p w14:paraId="7D87680B" w14:textId="77777777" w:rsidR="00A0581F" w:rsidRPr="00B15B45" w:rsidRDefault="00A0581F" w:rsidP="00A0581F">
      <w:pPr>
        <w:pStyle w:val="Textonotapie"/>
        <w:jc w:val="both"/>
        <w:rPr>
          <w:rFonts w:ascii="Arial" w:hAnsi="Arial" w:cs="Arial"/>
          <w:sz w:val="16"/>
          <w:szCs w:val="16"/>
        </w:rPr>
      </w:pPr>
      <w:r w:rsidRPr="00B15B45">
        <w:rPr>
          <w:rStyle w:val="Refdenotaalpie"/>
          <w:rFonts w:ascii="Arial" w:hAnsi="Arial" w:cs="Arial"/>
          <w:sz w:val="16"/>
          <w:szCs w:val="16"/>
        </w:rPr>
        <w:footnoteRef/>
      </w:r>
      <w:r w:rsidRPr="00B15B45">
        <w:rPr>
          <w:rFonts w:ascii="Arial" w:hAnsi="Arial" w:cs="Arial"/>
          <w:sz w:val="16"/>
          <w:szCs w:val="16"/>
        </w:rPr>
        <w:t xml:space="preserve"> Corte Constitucional. Sentencia C-032/2005, M.P. </w:t>
      </w:r>
      <w:r w:rsidRPr="00B15B45">
        <w:rPr>
          <w:rFonts w:ascii="Arial" w:hAnsi="Arial" w:cs="Arial"/>
          <w:smallCaps/>
          <w:sz w:val="16"/>
          <w:szCs w:val="16"/>
        </w:rPr>
        <w:t>Jaime Córdoba Triviño</w:t>
      </w:r>
      <w:r w:rsidRPr="00B15B45">
        <w:rPr>
          <w:rFonts w:ascii="Arial" w:hAnsi="Arial" w:cs="Arial"/>
          <w:sz w:val="16"/>
          <w:szCs w:val="16"/>
        </w:rPr>
        <w:t>.</w:t>
      </w:r>
    </w:p>
  </w:footnote>
  <w:footnote w:id="3">
    <w:p w14:paraId="4EAF68F4" w14:textId="77777777" w:rsidR="00A0581F" w:rsidRPr="00B15B45" w:rsidRDefault="00A0581F" w:rsidP="00A0581F">
      <w:pPr>
        <w:jc w:val="both"/>
        <w:rPr>
          <w:rFonts w:ascii="Arial" w:hAnsi="Arial" w:cs="Arial"/>
          <w:sz w:val="16"/>
          <w:szCs w:val="16"/>
        </w:rPr>
      </w:pPr>
      <w:r w:rsidRPr="00B15B45">
        <w:rPr>
          <w:rStyle w:val="Refdenotaalpie"/>
          <w:rFonts w:ascii="Arial" w:hAnsi="Arial" w:cs="Arial"/>
          <w:sz w:val="16"/>
          <w:szCs w:val="16"/>
        </w:rPr>
        <w:footnoteRef/>
      </w:r>
      <w:r w:rsidRPr="00B15B45">
        <w:rPr>
          <w:rFonts w:ascii="Arial" w:hAnsi="Arial" w:cs="Arial"/>
          <w:sz w:val="16"/>
          <w:szCs w:val="16"/>
        </w:rPr>
        <w:t xml:space="preserve"> Corte Constitucional. Sentencia C-583/1996, M.P. </w:t>
      </w:r>
      <w:r w:rsidRPr="00B15B45">
        <w:rPr>
          <w:rFonts w:ascii="Arial" w:hAnsi="Arial" w:cs="Arial"/>
          <w:smallCaps/>
          <w:sz w:val="16"/>
          <w:szCs w:val="16"/>
        </w:rPr>
        <w:t>Vladimiro Naranjo Mesa</w:t>
      </w:r>
      <w:r w:rsidRPr="00B15B45">
        <w:rPr>
          <w:rFonts w:ascii="Arial" w:hAnsi="Arial" w:cs="Arial"/>
          <w:sz w:val="16"/>
          <w:szCs w:val="16"/>
        </w:rPr>
        <w:t>.</w:t>
      </w:r>
    </w:p>
  </w:footnote>
  <w:footnote w:id="4">
    <w:p w14:paraId="3A5A3554" w14:textId="77777777" w:rsidR="00A0581F" w:rsidRPr="00B15B45" w:rsidRDefault="00A0581F" w:rsidP="00A0581F">
      <w:pPr>
        <w:pStyle w:val="Textonotapie"/>
        <w:jc w:val="both"/>
        <w:rPr>
          <w:rFonts w:ascii="Arial" w:hAnsi="Arial" w:cs="Arial"/>
          <w:sz w:val="16"/>
          <w:szCs w:val="16"/>
        </w:rPr>
      </w:pPr>
      <w:r w:rsidRPr="00B15B45">
        <w:rPr>
          <w:rStyle w:val="Refdenotaalpie"/>
          <w:rFonts w:ascii="Arial" w:hAnsi="Arial" w:cs="Arial"/>
          <w:sz w:val="16"/>
          <w:szCs w:val="16"/>
        </w:rPr>
        <w:footnoteRef/>
      </w:r>
      <w:r w:rsidRPr="00B15B45">
        <w:rPr>
          <w:rFonts w:ascii="Arial" w:hAnsi="Arial" w:cs="Arial"/>
          <w:sz w:val="16"/>
          <w:szCs w:val="16"/>
        </w:rPr>
        <w:t xml:space="preserve"> Ibíd.</w:t>
      </w:r>
    </w:p>
  </w:footnote>
  <w:footnote w:id="5">
    <w:p w14:paraId="31BCA571" w14:textId="77777777" w:rsidR="00A0581F" w:rsidRPr="003D3873" w:rsidRDefault="00A0581F" w:rsidP="00A0581F">
      <w:pPr>
        <w:pStyle w:val="Textonotapie"/>
        <w:jc w:val="both"/>
        <w:rPr>
          <w:rFonts w:ascii="Arial" w:hAnsi="Arial" w:cs="Arial"/>
          <w:sz w:val="16"/>
          <w:szCs w:val="16"/>
        </w:rPr>
      </w:pPr>
      <w:r w:rsidRPr="003D3873">
        <w:rPr>
          <w:rStyle w:val="Refdenotaalpie"/>
          <w:rFonts w:ascii="Arial" w:hAnsi="Arial" w:cs="Arial"/>
          <w:sz w:val="16"/>
          <w:szCs w:val="16"/>
        </w:rPr>
        <w:footnoteRef/>
      </w:r>
      <w:r w:rsidRPr="003D3873">
        <w:rPr>
          <w:rFonts w:ascii="Arial" w:hAnsi="Arial" w:cs="Arial"/>
          <w:sz w:val="16"/>
          <w:szCs w:val="16"/>
        </w:rPr>
        <w:t xml:space="preserve"> Corte Constitucional. Sentencia C-842/2000, M.P. </w:t>
      </w:r>
      <w:r w:rsidRPr="003D3873">
        <w:rPr>
          <w:rFonts w:ascii="Arial" w:hAnsi="Arial" w:cs="Arial"/>
          <w:smallCaps/>
          <w:sz w:val="16"/>
          <w:szCs w:val="16"/>
        </w:rPr>
        <w:t>Vladimiro Naranjo Mes</w:t>
      </w:r>
      <w:r w:rsidRPr="003D3873">
        <w:rPr>
          <w:rFonts w:ascii="Arial" w:hAnsi="Arial" w:cs="Arial"/>
          <w:sz w:val="16"/>
          <w:szCs w:val="16"/>
        </w:rPr>
        <w:t>a.</w:t>
      </w:r>
    </w:p>
  </w:footnote>
  <w:footnote w:id="6">
    <w:p w14:paraId="2D23B64B" w14:textId="77777777" w:rsidR="00A0581F" w:rsidRPr="003D3873" w:rsidRDefault="00A0581F" w:rsidP="00A0581F">
      <w:pPr>
        <w:pStyle w:val="Textonotapie"/>
        <w:jc w:val="both"/>
        <w:rPr>
          <w:rFonts w:ascii="Arial" w:hAnsi="Arial" w:cs="Arial"/>
          <w:sz w:val="16"/>
          <w:szCs w:val="16"/>
        </w:rPr>
      </w:pPr>
      <w:r w:rsidRPr="003D3873">
        <w:rPr>
          <w:rStyle w:val="Refdenotaalpie"/>
          <w:rFonts w:ascii="Arial" w:hAnsi="Arial" w:cs="Arial"/>
          <w:sz w:val="16"/>
          <w:szCs w:val="16"/>
        </w:rPr>
        <w:footnoteRef/>
      </w:r>
      <w:r w:rsidRPr="003D3873">
        <w:rPr>
          <w:rFonts w:ascii="Arial" w:hAnsi="Arial" w:cs="Arial"/>
          <w:sz w:val="16"/>
          <w:szCs w:val="16"/>
        </w:rPr>
        <w:t xml:space="preserve"> Corte Constitucional. Sentencia C-597/2000, M.P. </w:t>
      </w:r>
      <w:r w:rsidRPr="003D3873">
        <w:rPr>
          <w:rFonts w:ascii="Arial" w:hAnsi="Arial" w:cs="Arial"/>
          <w:smallCaps/>
          <w:sz w:val="16"/>
          <w:szCs w:val="16"/>
        </w:rPr>
        <w:t>Álvaro Tafur Galvis</w:t>
      </w:r>
      <w:r w:rsidRPr="003D3873">
        <w:rPr>
          <w:rFonts w:ascii="Arial" w:hAnsi="Arial" w:cs="Arial"/>
          <w:sz w:val="16"/>
          <w:szCs w:val="16"/>
        </w:rPr>
        <w:t>.</w:t>
      </w:r>
    </w:p>
  </w:footnote>
  <w:footnote w:id="7">
    <w:p w14:paraId="4E1537B5" w14:textId="77777777" w:rsidR="00A0581F" w:rsidRPr="003D3873" w:rsidRDefault="00A0581F" w:rsidP="00A0581F">
      <w:pPr>
        <w:pStyle w:val="Textonotapie"/>
        <w:jc w:val="both"/>
        <w:rPr>
          <w:rFonts w:ascii="Arial" w:hAnsi="Arial" w:cs="Arial"/>
          <w:sz w:val="16"/>
          <w:szCs w:val="16"/>
        </w:rPr>
      </w:pPr>
      <w:r w:rsidRPr="003D3873">
        <w:rPr>
          <w:rStyle w:val="Refdenotaalpie"/>
          <w:rFonts w:ascii="Arial" w:hAnsi="Arial" w:cs="Arial"/>
          <w:sz w:val="16"/>
          <w:szCs w:val="16"/>
        </w:rPr>
        <w:footnoteRef/>
      </w:r>
      <w:r w:rsidRPr="003D3873">
        <w:rPr>
          <w:rFonts w:ascii="Arial" w:hAnsi="Arial" w:cs="Arial"/>
          <w:sz w:val="16"/>
          <w:szCs w:val="16"/>
        </w:rPr>
        <w:t xml:space="preserve"> Corte Constitucional. Sentencia C-690/2003, M.P. </w:t>
      </w:r>
      <w:r w:rsidRPr="003D3873">
        <w:rPr>
          <w:rFonts w:ascii="Arial" w:hAnsi="Arial" w:cs="Arial"/>
          <w:smallCaps/>
          <w:sz w:val="16"/>
          <w:szCs w:val="16"/>
        </w:rPr>
        <w:t>Rodrigo Escobar Gil</w:t>
      </w:r>
      <w:r w:rsidRPr="003D3873">
        <w:rPr>
          <w:rFonts w:ascii="Arial" w:hAnsi="Arial" w:cs="Arial"/>
          <w:sz w:val="16"/>
          <w:szCs w:val="16"/>
        </w:rPr>
        <w:t>.</w:t>
      </w:r>
    </w:p>
  </w:footnote>
  <w:footnote w:id="8">
    <w:p w14:paraId="1F06FA24" w14:textId="77777777" w:rsidR="00A0581F" w:rsidRPr="003D3873" w:rsidRDefault="00A0581F" w:rsidP="00A0581F">
      <w:pPr>
        <w:pStyle w:val="Textonotapie"/>
        <w:ind w:left="284" w:hanging="284"/>
        <w:jc w:val="both"/>
        <w:rPr>
          <w:rFonts w:ascii="Arial" w:hAnsi="Arial" w:cs="Arial"/>
          <w:sz w:val="16"/>
          <w:szCs w:val="16"/>
        </w:rPr>
      </w:pPr>
      <w:r w:rsidRPr="003D3873">
        <w:rPr>
          <w:rStyle w:val="Refdenotaalpie"/>
          <w:rFonts w:ascii="Arial" w:hAnsi="Arial" w:cs="Arial"/>
          <w:sz w:val="16"/>
          <w:szCs w:val="16"/>
        </w:rPr>
        <w:footnoteRef/>
      </w:r>
      <w:r w:rsidRPr="003D3873">
        <w:rPr>
          <w:rFonts w:ascii="Arial" w:hAnsi="Arial" w:cs="Arial"/>
          <w:sz w:val="16"/>
          <w:szCs w:val="16"/>
        </w:rPr>
        <w:t xml:space="preserve"> </w:t>
      </w:r>
      <w:r w:rsidRPr="003D3873">
        <w:rPr>
          <w:rFonts w:ascii="Arial" w:hAnsi="Arial" w:cs="Arial"/>
          <w:sz w:val="16"/>
          <w:szCs w:val="16"/>
        </w:rPr>
        <w:tab/>
        <w:t>Ratificado y ampliado por la Ley 1607 de 2012 en el Artículo 190, que estableció “</w:t>
      </w:r>
      <w:r w:rsidRPr="003D3873">
        <w:rPr>
          <w:rFonts w:ascii="Arial" w:hAnsi="Arial" w:cs="Arial"/>
          <w:i/>
          <w:sz w:val="16"/>
          <w:szCs w:val="16"/>
        </w:rPr>
        <w:t>Índice Catastros Descentralizados. Los catastros descentralizados podrán contar con un índice de valoración predial diferencial, teniendo en cuenta el uso de los predios: residencial (por estrato), comercial, industrial, lotes, depósitos y parqueaderos, rurales y otros. Los avalúos catastrales de conservación se reajustarán anualmente en el porcentaje que determinen y publiquen los catastros descentralizados en el mes de diciembre de cada año, de acuerdo con los índices de valoración inmobiliaria que utilicen, previo concepto del Consejo de Política Económica y Fiscal del ente territorial, o quien haga sus veces”</w:t>
      </w:r>
      <w:r w:rsidRPr="003D3873">
        <w:rPr>
          <w:rFonts w:ascii="Arial" w:hAnsi="Arial" w:cs="Arial"/>
          <w:sz w:val="16"/>
          <w:szCs w:val="16"/>
        </w:rPr>
        <w:t>.</w:t>
      </w:r>
    </w:p>
  </w:footnote>
  <w:footnote w:id="9">
    <w:p w14:paraId="69B6F351" w14:textId="77777777" w:rsidR="00A0581F" w:rsidRPr="003D3873" w:rsidRDefault="00A0581F" w:rsidP="00A0581F">
      <w:pPr>
        <w:pStyle w:val="Textonotapie"/>
        <w:ind w:left="284" w:hanging="284"/>
        <w:jc w:val="both"/>
        <w:rPr>
          <w:rFonts w:ascii="Arial" w:hAnsi="Arial" w:cs="Arial"/>
          <w:sz w:val="16"/>
          <w:szCs w:val="16"/>
        </w:rPr>
      </w:pPr>
      <w:r w:rsidRPr="003D3873">
        <w:rPr>
          <w:rStyle w:val="Refdenotaalpie"/>
          <w:rFonts w:ascii="Arial" w:hAnsi="Arial" w:cs="Arial"/>
          <w:sz w:val="16"/>
          <w:szCs w:val="16"/>
        </w:rPr>
        <w:footnoteRef/>
      </w:r>
      <w:r w:rsidRPr="003D3873">
        <w:rPr>
          <w:rFonts w:ascii="Arial" w:hAnsi="Arial" w:cs="Arial"/>
          <w:sz w:val="16"/>
          <w:szCs w:val="16"/>
        </w:rPr>
        <w:t xml:space="preserve"> </w:t>
      </w:r>
      <w:r w:rsidRPr="003D3873">
        <w:rPr>
          <w:rFonts w:ascii="Arial" w:hAnsi="Arial" w:cs="Arial"/>
          <w:sz w:val="16"/>
          <w:szCs w:val="16"/>
        </w:rPr>
        <w:tab/>
        <w:t>La Resolución 070 de 2011 en su artículo 105, establece; “</w:t>
      </w:r>
      <w:r w:rsidRPr="003D3873">
        <w:rPr>
          <w:rFonts w:ascii="Arial" w:hAnsi="Arial" w:cs="Arial"/>
          <w:i/>
          <w:sz w:val="16"/>
          <w:szCs w:val="16"/>
        </w:rPr>
        <w:t>Conservación catastral</w:t>
      </w:r>
      <w:r w:rsidRPr="003D3873">
        <w:rPr>
          <w:rFonts w:ascii="Arial" w:hAnsi="Arial" w:cs="Arial"/>
          <w:b/>
          <w:bCs/>
          <w:i/>
          <w:iCs/>
          <w:sz w:val="16"/>
          <w:szCs w:val="16"/>
        </w:rPr>
        <w:t xml:space="preserve">. </w:t>
      </w:r>
      <w:r w:rsidRPr="003D3873">
        <w:rPr>
          <w:rFonts w:ascii="Arial" w:hAnsi="Arial" w:cs="Arial"/>
          <w:i/>
          <w:sz w:val="16"/>
          <w:szCs w:val="16"/>
        </w:rPr>
        <w:t>La conservación catastral consiste en el conjunto de operaciones destinadas a mantener al día los documentos catastrales correspondientes a los predios, de conformidad con los cambios que experimente la propiedad inmueble en sus aspectos físico, jurídico, económico y fiscal</w:t>
      </w:r>
      <w:r w:rsidRPr="003D3873">
        <w:rPr>
          <w:rFonts w:ascii="Arial" w:hAnsi="Arial" w:cs="Arial"/>
          <w:sz w:val="16"/>
          <w:szCs w:val="16"/>
        </w:rPr>
        <w:t>”, esta es una actividad permanente de los catastros para mantener actualizada la formación y la actualización física, jurídica y económica de los predios. En términos económicos la conservación masiva de los valores catastrales se realiza anualmente a través del IVIUR, en aquellos predios que no estén dentro de los procesos de actualización catastral.</w:t>
      </w:r>
    </w:p>
    <w:p w14:paraId="2AA16C21" w14:textId="77777777" w:rsidR="00A0581F" w:rsidRDefault="00A0581F" w:rsidP="00A0581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0870F" w14:textId="77777777" w:rsidR="00FA5EE7" w:rsidRPr="00B50543" w:rsidRDefault="005302E9">
    <w:pPr>
      <w:pStyle w:val="Encabezado"/>
      <w:jc w:val="center"/>
      <w:rPr>
        <w:lang w:val="es-CO"/>
      </w:rPr>
    </w:pPr>
    <w:r>
      <w:rPr>
        <w:noProof/>
        <w:lang w:val="es-CO" w:eastAsia="es-CO"/>
      </w:rPr>
      <w:drawing>
        <wp:inline distT="0" distB="0" distL="0" distR="0" wp14:anchorId="25BCBD82" wp14:editId="54BEF320">
          <wp:extent cx="590550" cy="685800"/>
          <wp:effectExtent l="0" t="0" r="0" b="0"/>
          <wp:docPr id="10" name="Imagen 10" descr="Hacienda 2012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cienda 2012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7854A0"/>
    <w:lvl w:ilvl="0">
      <w:numFmt w:val="decimal"/>
      <w:lvlText w:val="*"/>
      <w:lvlJc w:val="left"/>
    </w:lvl>
  </w:abstractNum>
  <w:abstractNum w:abstractNumId="1">
    <w:nsid w:val="50702FED"/>
    <w:multiLevelType w:val="hybridMultilevel"/>
    <w:tmpl w:val="68BC5870"/>
    <w:lvl w:ilvl="0" w:tplc="548A831E">
      <w:start w:val="1"/>
      <w:numFmt w:val="decimal"/>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F1D58CE"/>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4"/>
          <w:szCs w:val="24"/>
        </w:rPr>
      </w:lvl>
    </w:lvlOverride>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uel Duglas Raul Avila Olarte">
    <w15:presenceInfo w15:providerId="AD" w15:userId="S::mdavila@catastrobogota.gov.co::63f84848-e7ab-4b1d-a7c8-e44cd4c92b3d"/>
  </w15:person>
  <w15:person w15:author="Brayan Arturo Camargo Lozano">
    <w15:presenceInfo w15:providerId="AD" w15:userId="S::bcamargo@catastrobogota.gov.co::c8990f34-3f8a-40fa-a317-c82df55e43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D9"/>
    <w:rsid w:val="00012F82"/>
    <w:rsid w:val="00022CB6"/>
    <w:rsid w:val="00030530"/>
    <w:rsid w:val="00033018"/>
    <w:rsid w:val="0004540C"/>
    <w:rsid w:val="00066385"/>
    <w:rsid w:val="00067FD9"/>
    <w:rsid w:val="000741F2"/>
    <w:rsid w:val="00086716"/>
    <w:rsid w:val="000A6096"/>
    <w:rsid w:val="000A7B8D"/>
    <w:rsid w:val="000D0832"/>
    <w:rsid w:val="000F5EB9"/>
    <w:rsid w:val="00100A43"/>
    <w:rsid w:val="00102F28"/>
    <w:rsid w:val="00117324"/>
    <w:rsid w:val="00134C57"/>
    <w:rsid w:val="00142967"/>
    <w:rsid w:val="0017691F"/>
    <w:rsid w:val="001B4DD7"/>
    <w:rsid w:val="001C0F4E"/>
    <w:rsid w:val="001C1114"/>
    <w:rsid w:val="001C32DC"/>
    <w:rsid w:val="001C4486"/>
    <w:rsid w:val="001F2232"/>
    <w:rsid w:val="0020564A"/>
    <w:rsid w:val="002125D9"/>
    <w:rsid w:val="00214346"/>
    <w:rsid w:val="002365FF"/>
    <w:rsid w:val="00245AE3"/>
    <w:rsid w:val="00246BA7"/>
    <w:rsid w:val="002B1E4D"/>
    <w:rsid w:val="002B26FC"/>
    <w:rsid w:val="002E0052"/>
    <w:rsid w:val="00307794"/>
    <w:rsid w:val="00307F5F"/>
    <w:rsid w:val="0033242D"/>
    <w:rsid w:val="00395DC6"/>
    <w:rsid w:val="003A2C14"/>
    <w:rsid w:val="003D127A"/>
    <w:rsid w:val="003D7D8D"/>
    <w:rsid w:val="00404C2C"/>
    <w:rsid w:val="00426F6A"/>
    <w:rsid w:val="00427DA2"/>
    <w:rsid w:val="004643B6"/>
    <w:rsid w:val="004818D8"/>
    <w:rsid w:val="00492BD6"/>
    <w:rsid w:val="004F59DD"/>
    <w:rsid w:val="004F79FD"/>
    <w:rsid w:val="005302E9"/>
    <w:rsid w:val="00547B73"/>
    <w:rsid w:val="0055182C"/>
    <w:rsid w:val="005562ED"/>
    <w:rsid w:val="00564917"/>
    <w:rsid w:val="005909CE"/>
    <w:rsid w:val="005B04A3"/>
    <w:rsid w:val="005B322D"/>
    <w:rsid w:val="005B65DE"/>
    <w:rsid w:val="005E5AAC"/>
    <w:rsid w:val="00606463"/>
    <w:rsid w:val="00640601"/>
    <w:rsid w:val="00685455"/>
    <w:rsid w:val="006B2196"/>
    <w:rsid w:val="006C3B48"/>
    <w:rsid w:val="006E63B0"/>
    <w:rsid w:val="00703B87"/>
    <w:rsid w:val="00722457"/>
    <w:rsid w:val="00727C70"/>
    <w:rsid w:val="00737058"/>
    <w:rsid w:val="00747413"/>
    <w:rsid w:val="0076059E"/>
    <w:rsid w:val="00767E66"/>
    <w:rsid w:val="007F15CC"/>
    <w:rsid w:val="007F1785"/>
    <w:rsid w:val="007F7A9B"/>
    <w:rsid w:val="00813CC7"/>
    <w:rsid w:val="00815215"/>
    <w:rsid w:val="00895E77"/>
    <w:rsid w:val="0094005D"/>
    <w:rsid w:val="0095257F"/>
    <w:rsid w:val="00971091"/>
    <w:rsid w:val="009A49DF"/>
    <w:rsid w:val="009B6B77"/>
    <w:rsid w:val="009E0C22"/>
    <w:rsid w:val="00A0581F"/>
    <w:rsid w:val="00A13505"/>
    <w:rsid w:val="00A20D63"/>
    <w:rsid w:val="00A33984"/>
    <w:rsid w:val="00A4792E"/>
    <w:rsid w:val="00A70208"/>
    <w:rsid w:val="00AA561D"/>
    <w:rsid w:val="00AB53E0"/>
    <w:rsid w:val="00AC1B48"/>
    <w:rsid w:val="00AC2F17"/>
    <w:rsid w:val="00AD1E2B"/>
    <w:rsid w:val="00AE5020"/>
    <w:rsid w:val="00AF3057"/>
    <w:rsid w:val="00B45243"/>
    <w:rsid w:val="00B4650C"/>
    <w:rsid w:val="00B50543"/>
    <w:rsid w:val="00B7119A"/>
    <w:rsid w:val="00B8127F"/>
    <w:rsid w:val="00BD4DB3"/>
    <w:rsid w:val="00BF160F"/>
    <w:rsid w:val="00BF279D"/>
    <w:rsid w:val="00C21201"/>
    <w:rsid w:val="00C46950"/>
    <w:rsid w:val="00C86029"/>
    <w:rsid w:val="00C921E7"/>
    <w:rsid w:val="00CB71E9"/>
    <w:rsid w:val="00CD09A6"/>
    <w:rsid w:val="00CE5087"/>
    <w:rsid w:val="00CF4CBD"/>
    <w:rsid w:val="00D17FB9"/>
    <w:rsid w:val="00D306AD"/>
    <w:rsid w:val="00DD07EC"/>
    <w:rsid w:val="00DE1ADE"/>
    <w:rsid w:val="00DE5DF2"/>
    <w:rsid w:val="00E138FD"/>
    <w:rsid w:val="00E16CEE"/>
    <w:rsid w:val="00E22785"/>
    <w:rsid w:val="00E321FB"/>
    <w:rsid w:val="00E54CC5"/>
    <w:rsid w:val="00E557D6"/>
    <w:rsid w:val="00E55849"/>
    <w:rsid w:val="00E66C22"/>
    <w:rsid w:val="00E7609B"/>
    <w:rsid w:val="00E8458F"/>
    <w:rsid w:val="00EB0887"/>
    <w:rsid w:val="00EC68B7"/>
    <w:rsid w:val="00EE017B"/>
    <w:rsid w:val="00F3587C"/>
    <w:rsid w:val="00F412DB"/>
    <w:rsid w:val="00F5321A"/>
    <w:rsid w:val="00F61430"/>
    <w:rsid w:val="00FA5EE7"/>
    <w:rsid w:val="00FB71FB"/>
    <w:rsid w:val="00FC3235"/>
    <w:rsid w:val="00FD1418"/>
    <w:rsid w:val="00FF3AE1"/>
    <w:rsid w:val="00FF7F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C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paragraph" w:styleId="Ttulo1">
    <w:name w:val="heading 1"/>
    <w:basedOn w:val="Normal"/>
    <w:next w:val="Normal"/>
    <w:link w:val="Ttulo1Car"/>
    <w:uiPriority w:val="99"/>
    <w:qFormat/>
    <w:pPr>
      <w:keepNext/>
      <w:spacing w:line="480" w:lineRule="auto"/>
      <w:jc w:val="center"/>
      <w:outlineLvl w:val="0"/>
    </w:pPr>
    <w:rPr>
      <w:rFonts w:ascii="Cambria" w:hAnsi="Cambria"/>
      <w:b/>
      <w:bCs/>
      <w:kern w:val="32"/>
      <w:sz w:val="32"/>
      <w:szCs w:val="32"/>
      <w:lang w:eastAsia="x-none"/>
    </w:rPr>
  </w:style>
  <w:style w:type="paragraph" w:styleId="Ttulo2">
    <w:name w:val="heading 2"/>
    <w:basedOn w:val="Normal"/>
    <w:next w:val="Normal"/>
    <w:link w:val="Ttulo2Car"/>
    <w:uiPriority w:val="99"/>
    <w:qFormat/>
    <w:pPr>
      <w:keepNext/>
      <w:outlineLvl w:val="1"/>
    </w:pPr>
    <w:rPr>
      <w:rFonts w:ascii="Cambria" w:hAnsi="Cambria"/>
      <w:b/>
      <w:bCs/>
      <w:i/>
      <w:iCs/>
      <w:sz w:val="28"/>
      <w:szCs w:val="28"/>
      <w:lang w:eastAsia="x-none"/>
    </w:rPr>
  </w:style>
  <w:style w:type="paragraph" w:styleId="Ttulo3">
    <w:name w:val="heading 3"/>
    <w:basedOn w:val="Normal"/>
    <w:next w:val="Normal"/>
    <w:link w:val="Ttulo3Car"/>
    <w:uiPriority w:val="99"/>
    <w:qFormat/>
    <w:pPr>
      <w:keepNext/>
      <w:jc w:val="both"/>
      <w:outlineLvl w:val="2"/>
    </w:pPr>
    <w:rPr>
      <w:rFonts w:ascii="Cambria" w:hAnsi="Cambria"/>
      <w:b/>
      <w:bCs/>
      <w:sz w:val="26"/>
      <w:szCs w:val="26"/>
      <w:lang w:eastAsia="x-none"/>
    </w:rPr>
  </w:style>
  <w:style w:type="paragraph" w:styleId="Ttulo4">
    <w:name w:val="heading 4"/>
    <w:basedOn w:val="Normal"/>
    <w:next w:val="Normal"/>
    <w:link w:val="Ttulo4Car"/>
    <w:uiPriority w:val="99"/>
    <w:qFormat/>
    <w:pPr>
      <w:keepNext/>
      <w:jc w:val="both"/>
      <w:outlineLvl w:val="3"/>
    </w:pPr>
    <w:rPr>
      <w:rFonts w:ascii="Calibri" w:hAnsi="Calibri"/>
      <w:b/>
      <w:bCs/>
      <w:sz w:val="28"/>
      <w:szCs w:val="28"/>
      <w:lang w:eastAsia="x-none"/>
    </w:rPr>
  </w:style>
  <w:style w:type="paragraph" w:styleId="Ttulo5">
    <w:name w:val="heading 5"/>
    <w:basedOn w:val="Normal"/>
    <w:next w:val="Normal"/>
    <w:link w:val="Ttulo5Car"/>
    <w:uiPriority w:val="99"/>
    <w:qFormat/>
    <w:pPr>
      <w:keepNext/>
      <w:jc w:val="both"/>
      <w:outlineLvl w:val="4"/>
    </w:pPr>
    <w:rPr>
      <w:rFonts w:ascii="Calibri" w:hAnsi="Calibri"/>
      <w:b/>
      <w:bCs/>
      <w:i/>
      <w:iCs/>
      <w:sz w:val="26"/>
      <w:szCs w:val="26"/>
      <w:lang w:eastAsia="x-none"/>
    </w:rPr>
  </w:style>
  <w:style w:type="paragraph" w:styleId="Ttulo6">
    <w:name w:val="heading 6"/>
    <w:basedOn w:val="Normal"/>
    <w:next w:val="Normal"/>
    <w:link w:val="Ttulo6Car"/>
    <w:uiPriority w:val="99"/>
    <w:qFormat/>
    <w:pPr>
      <w:keepNext/>
      <w:outlineLvl w:val="5"/>
    </w:pPr>
    <w:rPr>
      <w:rFonts w:ascii="Calibri" w:hAnsi="Calibri"/>
      <w:b/>
      <w:b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
    <w:rPr>
      <w:rFonts w:ascii="Cambria" w:eastAsia="Times New Roman" w:hAnsi="Cambria" w:cs="Times New Roman"/>
      <w:b/>
      <w:bCs/>
      <w:kern w:val="32"/>
      <w:sz w:val="32"/>
      <w:szCs w:val="32"/>
      <w:lang w:val="es-ES_tradnl" w:eastAsia="es-ES"/>
    </w:rPr>
  </w:style>
  <w:style w:type="character" w:customStyle="1" w:styleId="Heading2Char">
    <w:name w:val="Heading 2 Char"/>
    <w:uiPriority w:val="9"/>
    <w:semiHidden/>
    <w:rPr>
      <w:rFonts w:ascii="Cambria" w:eastAsia="Times New Roman" w:hAnsi="Cambria" w:cs="Times New Roman"/>
      <w:b/>
      <w:bCs/>
      <w:i/>
      <w:iCs/>
      <w:sz w:val="28"/>
      <w:szCs w:val="28"/>
      <w:lang w:val="es-ES_tradnl" w:eastAsia="es-ES"/>
    </w:rPr>
  </w:style>
  <w:style w:type="character" w:customStyle="1" w:styleId="Heading3Char">
    <w:name w:val="Heading 3 Char"/>
    <w:uiPriority w:val="9"/>
    <w:semiHidden/>
    <w:rPr>
      <w:rFonts w:ascii="Cambria" w:eastAsia="Times New Roman" w:hAnsi="Cambria" w:cs="Times New Roman"/>
      <w:b/>
      <w:bCs/>
      <w:sz w:val="26"/>
      <w:szCs w:val="26"/>
      <w:lang w:val="es-ES_tradnl" w:eastAsia="es-ES"/>
    </w:rPr>
  </w:style>
  <w:style w:type="character" w:customStyle="1" w:styleId="Heading4Char">
    <w:name w:val="Heading 4 Char"/>
    <w:uiPriority w:val="9"/>
    <w:semiHidden/>
    <w:rPr>
      <w:rFonts w:ascii="Calibri" w:eastAsia="Times New Roman" w:hAnsi="Calibri" w:cs="Times New Roman"/>
      <w:b/>
      <w:bCs/>
      <w:sz w:val="28"/>
      <w:szCs w:val="28"/>
      <w:lang w:val="es-ES_tradnl" w:eastAsia="es-ES"/>
    </w:rPr>
  </w:style>
  <w:style w:type="character" w:customStyle="1" w:styleId="Heading5Char">
    <w:name w:val="Heading 5 Char"/>
    <w:uiPriority w:val="9"/>
    <w:semiHidden/>
    <w:rPr>
      <w:rFonts w:ascii="Calibri" w:eastAsia="Times New Roman" w:hAnsi="Calibri" w:cs="Times New Roman"/>
      <w:b/>
      <w:bCs/>
      <w:i/>
      <w:iCs/>
      <w:sz w:val="26"/>
      <w:szCs w:val="26"/>
      <w:lang w:val="es-ES_tradnl" w:eastAsia="es-ES"/>
    </w:rPr>
  </w:style>
  <w:style w:type="character" w:customStyle="1" w:styleId="Heading6Char">
    <w:name w:val="Heading 6 Char"/>
    <w:uiPriority w:val="9"/>
    <w:semiHidden/>
    <w:rPr>
      <w:rFonts w:ascii="Calibri" w:eastAsia="Times New Roman" w:hAnsi="Calibri" w:cs="Times New Roman"/>
      <w:b/>
      <w:bCs/>
      <w:lang w:val="es-ES_tradnl" w:eastAsia="es-ES"/>
    </w:rPr>
  </w:style>
  <w:style w:type="character" w:customStyle="1" w:styleId="Ttulo1Car">
    <w:name w:val="Título 1 Car"/>
    <w:link w:val="Ttulo1"/>
    <w:uiPriority w:val="99"/>
    <w:locked/>
    <w:rPr>
      <w:rFonts w:ascii="Cambria" w:eastAsia="Times New Roman" w:hAnsi="Cambria" w:cs="Cambria"/>
      <w:b/>
      <w:bCs/>
      <w:kern w:val="32"/>
      <w:sz w:val="32"/>
      <w:szCs w:val="32"/>
      <w:lang w:val="es-ES_tradnl" w:eastAsia="x-none"/>
    </w:rPr>
  </w:style>
  <w:style w:type="character" w:customStyle="1" w:styleId="Ttulo2Car">
    <w:name w:val="Título 2 Car"/>
    <w:link w:val="Ttulo2"/>
    <w:uiPriority w:val="99"/>
    <w:semiHidden/>
    <w:locked/>
    <w:rPr>
      <w:rFonts w:ascii="Cambria" w:eastAsia="Times New Roman" w:hAnsi="Cambria" w:cs="Cambria"/>
      <w:b/>
      <w:bCs/>
      <w:i/>
      <w:iCs/>
      <w:sz w:val="28"/>
      <w:szCs w:val="28"/>
      <w:lang w:val="es-ES_tradnl" w:eastAsia="x-none"/>
    </w:rPr>
  </w:style>
  <w:style w:type="character" w:customStyle="1" w:styleId="Ttulo3Car">
    <w:name w:val="Título 3 Car"/>
    <w:link w:val="Ttulo3"/>
    <w:uiPriority w:val="99"/>
    <w:semiHidden/>
    <w:locked/>
    <w:rPr>
      <w:rFonts w:ascii="Cambria" w:eastAsia="Times New Roman" w:hAnsi="Cambria" w:cs="Cambria"/>
      <w:b/>
      <w:bCs/>
      <w:sz w:val="26"/>
      <w:szCs w:val="26"/>
      <w:lang w:val="es-ES_tradnl" w:eastAsia="x-none"/>
    </w:rPr>
  </w:style>
  <w:style w:type="character" w:customStyle="1" w:styleId="Ttulo4Car">
    <w:name w:val="Título 4 Car"/>
    <w:link w:val="Ttulo4"/>
    <w:uiPriority w:val="99"/>
    <w:semiHidden/>
    <w:locked/>
    <w:rPr>
      <w:rFonts w:ascii="Calibri" w:eastAsia="Times New Roman" w:hAnsi="Calibri" w:cs="Calibri"/>
      <w:b/>
      <w:bCs/>
      <w:sz w:val="28"/>
      <w:szCs w:val="28"/>
      <w:lang w:val="es-ES_tradnl" w:eastAsia="x-none"/>
    </w:rPr>
  </w:style>
  <w:style w:type="character" w:customStyle="1" w:styleId="Ttulo5Car">
    <w:name w:val="Título 5 Car"/>
    <w:link w:val="Ttulo5"/>
    <w:uiPriority w:val="99"/>
    <w:semiHidden/>
    <w:locked/>
    <w:rPr>
      <w:rFonts w:ascii="Calibri" w:eastAsia="Times New Roman" w:hAnsi="Calibri" w:cs="Calibri"/>
      <w:b/>
      <w:bCs/>
      <w:i/>
      <w:iCs/>
      <w:sz w:val="26"/>
      <w:szCs w:val="26"/>
      <w:lang w:val="es-ES_tradnl" w:eastAsia="x-none"/>
    </w:rPr>
  </w:style>
  <w:style w:type="character" w:customStyle="1" w:styleId="Ttulo6Car">
    <w:name w:val="Título 6 Car"/>
    <w:link w:val="Ttulo6"/>
    <w:uiPriority w:val="99"/>
    <w:semiHidden/>
    <w:locked/>
    <w:rPr>
      <w:rFonts w:ascii="Calibri" w:eastAsia="Times New Roman" w:hAnsi="Calibri" w:cs="Calibri"/>
      <w:b/>
      <w:bCs/>
      <w:lang w:val="es-ES_tradnl" w:eastAsia="x-none"/>
    </w:rPr>
  </w:style>
  <w:style w:type="paragraph" w:styleId="Encabezado">
    <w:name w:val="header"/>
    <w:basedOn w:val="Normal"/>
    <w:link w:val="EncabezadoCar"/>
    <w:uiPriority w:val="99"/>
    <w:pPr>
      <w:tabs>
        <w:tab w:val="center" w:pos="4252"/>
        <w:tab w:val="right" w:pos="8504"/>
      </w:tabs>
    </w:pPr>
    <w:rPr>
      <w:lang w:eastAsia="x-none"/>
    </w:rPr>
  </w:style>
  <w:style w:type="character" w:customStyle="1" w:styleId="HeaderChar">
    <w:name w:val="Header Char"/>
    <w:uiPriority w:val="99"/>
    <w:semiHidden/>
    <w:rPr>
      <w:sz w:val="20"/>
      <w:szCs w:val="20"/>
      <w:lang w:val="es-ES_tradnl" w:eastAsia="es-ES"/>
    </w:rPr>
  </w:style>
  <w:style w:type="character" w:customStyle="1" w:styleId="EncabezadoCar">
    <w:name w:val="Encabezado Car"/>
    <w:link w:val="Encabezado"/>
    <w:uiPriority w:val="99"/>
    <w:locked/>
    <w:rPr>
      <w:sz w:val="20"/>
      <w:szCs w:val="20"/>
      <w:lang w:val="es-ES_tradnl" w:eastAsia="x-none"/>
    </w:rPr>
  </w:style>
  <w:style w:type="paragraph" w:styleId="Piedepgina">
    <w:name w:val="footer"/>
    <w:basedOn w:val="Normal"/>
    <w:link w:val="PiedepginaCar"/>
    <w:uiPriority w:val="99"/>
    <w:pPr>
      <w:tabs>
        <w:tab w:val="center" w:pos="4252"/>
        <w:tab w:val="right" w:pos="8504"/>
      </w:tabs>
    </w:pPr>
    <w:rPr>
      <w:lang w:eastAsia="x-none"/>
    </w:rPr>
  </w:style>
  <w:style w:type="character" w:customStyle="1" w:styleId="FooterChar">
    <w:name w:val="Footer Char"/>
    <w:uiPriority w:val="99"/>
    <w:semiHidden/>
    <w:rPr>
      <w:sz w:val="20"/>
      <w:szCs w:val="20"/>
      <w:lang w:val="es-ES_tradnl" w:eastAsia="es-ES"/>
    </w:rPr>
  </w:style>
  <w:style w:type="character" w:customStyle="1" w:styleId="PiedepginaCar">
    <w:name w:val="Pie de página Car"/>
    <w:link w:val="Piedepgina"/>
    <w:uiPriority w:val="99"/>
    <w:semiHidden/>
    <w:locked/>
    <w:rPr>
      <w:sz w:val="20"/>
      <w:szCs w:val="20"/>
      <w:lang w:val="es-ES_tradnl" w:eastAsia="x-none"/>
    </w:rPr>
  </w:style>
  <w:style w:type="paragraph" w:styleId="Mapadeldocumento">
    <w:name w:val="Document Map"/>
    <w:basedOn w:val="Normal"/>
    <w:link w:val="MapadeldocumentoCar"/>
    <w:uiPriority w:val="99"/>
    <w:semiHidden/>
    <w:pPr>
      <w:shd w:val="clear" w:color="auto" w:fill="000080"/>
    </w:pPr>
    <w:rPr>
      <w:rFonts w:ascii="Tahoma" w:hAnsi="Tahoma"/>
      <w:sz w:val="16"/>
      <w:szCs w:val="16"/>
      <w:lang w:eastAsia="x-none"/>
    </w:rPr>
  </w:style>
  <w:style w:type="character" w:customStyle="1" w:styleId="DocumentMapChar">
    <w:name w:val="Document Map Char"/>
    <w:uiPriority w:val="99"/>
    <w:semiHidden/>
    <w:rPr>
      <w:sz w:val="0"/>
      <w:szCs w:val="0"/>
      <w:lang w:val="es-ES_tradnl" w:eastAsia="es-ES"/>
    </w:rPr>
  </w:style>
  <w:style w:type="character" w:customStyle="1" w:styleId="MapadeldocumentoCar">
    <w:name w:val="Mapa del documento Car"/>
    <w:link w:val="Mapadeldocumento"/>
    <w:uiPriority w:val="99"/>
    <w:semiHidden/>
    <w:locked/>
    <w:rPr>
      <w:rFonts w:ascii="Tahoma" w:hAnsi="Tahoma" w:cs="Tahoma"/>
      <w:sz w:val="16"/>
      <w:szCs w:val="16"/>
      <w:lang w:val="es-ES_tradnl" w:eastAsia="x-none"/>
    </w:rPr>
  </w:style>
  <w:style w:type="paragraph" w:styleId="Textodeglobo">
    <w:name w:val="Balloon Text"/>
    <w:basedOn w:val="Normal"/>
    <w:link w:val="TextodegloboCar"/>
    <w:uiPriority w:val="99"/>
    <w:semiHidden/>
    <w:rPr>
      <w:rFonts w:ascii="Tahoma" w:hAnsi="Tahoma"/>
      <w:sz w:val="16"/>
      <w:szCs w:val="16"/>
      <w:lang w:eastAsia="x-none"/>
    </w:rPr>
  </w:style>
  <w:style w:type="character" w:customStyle="1" w:styleId="BalloonTextChar">
    <w:name w:val="Balloon Text Char"/>
    <w:uiPriority w:val="99"/>
    <w:semiHidden/>
    <w:rPr>
      <w:sz w:val="0"/>
      <w:szCs w:val="0"/>
      <w:lang w:val="es-ES_tradnl" w:eastAsia="es-ES"/>
    </w:rPr>
  </w:style>
  <w:style w:type="character" w:customStyle="1" w:styleId="TextodegloboCar">
    <w:name w:val="Texto de globo Car"/>
    <w:link w:val="Textodeglobo"/>
    <w:uiPriority w:val="99"/>
    <w:semiHidden/>
    <w:locked/>
    <w:rPr>
      <w:rFonts w:ascii="Tahoma" w:hAnsi="Tahoma" w:cs="Tahoma"/>
      <w:sz w:val="16"/>
      <w:szCs w:val="16"/>
      <w:lang w:val="es-ES_tradnl" w:eastAsia="x-none"/>
    </w:rPr>
  </w:style>
  <w:style w:type="character" w:styleId="Hipervnculo">
    <w:name w:val="Hyperlink"/>
    <w:uiPriority w:val="99"/>
    <w:rPr>
      <w:color w:val="0000FF"/>
      <w:u w:val="single"/>
    </w:rPr>
  </w:style>
  <w:style w:type="paragraph" w:customStyle="1" w:styleId="estilo4">
    <w:name w:val="estilo4"/>
    <w:basedOn w:val="Normal"/>
    <w:uiPriority w:val="99"/>
    <w:pPr>
      <w:spacing w:before="100" w:beforeAutospacing="1" w:after="100" w:afterAutospacing="1"/>
    </w:pPr>
    <w:rPr>
      <w:color w:val="000000"/>
      <w:sz w:val="24"/>
      <w:szCs w:val="24"/>
      <w:lang w:val="es-ES"/>
    </w:rPr>
  </w:style>
  <w:style w:type="paragraph" w:customStyle="1" w:styleId="estilo5">
    <w:name w:val="estilo5"/>
    <w:basedOn w:val="Normal"/>
    <w:uiPriority w:val="99"/>
    <w:pPr>
      <w:spacing w:before="100" w:beforeAutospacing="1" w:after="100" w:afterAutospacing="1"/>
    </w:pPr>
    <w:rPr>
      <w:sz w:val="24"/>
      <w:szCs w:val="24"/>
      <w:lang w:val="es-ES"/>
    </w:rPr>
  </w:style>
  <w:style w:type="character" w:customStyle="1" w:styleId="estilo61">
    <w:name w:val="estilo61"/>
    <w:uiPriority w:val="99"/>
    <w:rPr>
      <w:b/>
      <w:bCs/>
      <w:color w:val="FF0000"/>
    </w:rPr>
  </w:style>
  <w:style w:type="paragraph" w:styleId="NormalWeb">
    <w:name w:val="Normal (Web)"/>
    <w:basedOn w:val="Normal"/>
    <w:uiPriority w:val="99"/>
    <w:pPr>
      <w:spacing w:before="100" w:beforeAutospacing="1" w:after="100" w:afterAutospacing="1"/>
    </w:pPr>
    <w:rPr>
      <w:sz w:val="24"/>
      <w:szCs w:val="24"/>
      <w:lang w:val="es-ES"/>
    </w:rPr>
  </w:style>
  <w:style w:type="table" w:styleId="Tablaconcuadrcula">
    <w:name w:val="Table Grid"/>
    <w:basedOn w:val="Tabla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6C3B48"/>
    <w:rPr>
      <w:sz w:val="16"/>
      <w:szCs w:val="16"/>
    </w:rPr>
  </w:style>
  <w:style w:type="paragraph" w:styleId="Textocomentario">
    <w:name w:val="annotation text"/>
    <w:basedOn w:val="Normal"/>
    <w:link w:val="TextocomentarioCar"/>
    <w:uiPriority w:val="99"/>
    <w:semiHidden/>
    <w:unhideWhenUsed/>
    <w:rsid w:val="006C3B48"/>
  </w:style>
  <w:style w:type="character" w:customStyle="1" w:styleId="TextocomentarioCar">
    <w:name w:val="Texto comentario Car"/>
    <w:link w:val="Textocomentario"/>
    <w:uiPriority w:val="99"/>
    <w:semiHidden/>
    <w:rsid w:val="006C3B4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C3B48"/>
    <w:rPr>
      <w:b/>
      <w:bCs/>
    </w:rPr>
  </w:style>
  <w:style w:type="character" w:customStyle="1" w:styleId="AsuntodelcomentarioCar">
    <w:name w:val="Asunto del comentario Car"/>
    <w:link w:val="Asuntodelcomentario"/>
    <w:uiPriority w:val="99"/>
    <w:semiHidden/>
    <w:rsid w:val="006C3B48"/>
    <w:rPr>
      <w:b/>
      <w:bCs/>
      <w:lang w:val="es-ES_tradnl" w:eastAsia="es-ES"/>
    </w:rPr>
  </w:style>
  <w:style w:type="paragraph" w:customStyle="1" w:styleId="Default">
    <w:name w:val="Default"/>
    <w:rsid w:val="00E138FD"/>
    <w:pPr>
      <w:autoSpaceDE w:val="0"/>
      <w:autoSpaceDN w:val="0"/>
      <w:adjustRightInd w:val="0"/>
    </w:pPr>
    <w:rPr>
      <w:rFonts w:ascii="Arial" w:eastAsia="Calibri" w:hAnsi="Arial" w:cs="Arial"/>
      <w:color w:val="000000"/>
      <w:sz w:val="24"/>
      <w:szCs w:val="24"/>
      <w:lang w:val="es-ES" w:eastAsia="en-US"/>
    </w:rPr>
  </w:style>
  <w:style w:type="table" w:styleId="Sombreadoclaro-nfasis1">
    <w:name w:val="Light Shading Accent 1"/>
    <w:basedOn w:val="Tablanormal"/>
    <w:uiPriority w:val="60"/>
    <w:rsid w:val="00EE017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tulo">
    <w:name w:val="Title"/>
    <w:basedOn w:val="Normal"/>
    <w:next w:val="Normal"/>
    <w:link w:val="TtuloCar"/>
    <w:uiPriority w:val="10"/>
    <w:qFormat/>
    <w:rsid w:val="00EE017B"/>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E017B"/>
    <w:rPr>
      <w:rFonts w:ascii="Cambria" w:eastAsia="Times New Roman" w:hAnsi="Cambria" w:cs="Times New Roman"/>
      <w:b/>
      <w:bCs/>
      <w:kern w:val="28"/>
      <w:sz w:val="32"/>
      <w:szCs w:val="32"/>
      <w:lang w:val="es-ES_tradnl" w:eastAsia="es-ES"/>
    </w:rPr>
  </w:style>
  <w:style w:type="paragraph" w:customStyle="1" w:styleId="piecuerpo2">
    <w:name w:val="piecuerpo2"/>
    <w:basedOn w:val="Normal"/>
    <w:rsid w:val="00214346"/>
    <w:pPr>
      <w:spacing w:after="100" w:afterAutospacing="1" w:line="225" w:lineRule="atLeast"/>
      <w:ind w:left="750"/>
      <w:textAlignment w:val="top"/>
    </w:pPr>
    <w:rPr>
      <w:rFonts w:ascii="Arial" w:hAnsi="Arial" w:cs="Arial"/>
      <w:color w:val="333333"/>
      <w:sz w:val="17"/>
      <w:szCs w:val="17"/>
      <w:lang w:val="es-CO" w:eastAsia="es-CO"/>
    </w:rPr>
  </w:style>
  <w:style w:type="paragraph" w:styleId="Textonotapie">
    <w:name w:val="footnote text"/>
    <w:aliases w:val="ft,Texto nota pie2,ft1,ft Car Car Car1,Texto nota pie Car2,ft Car Car2,ft Car,ft Car Car,ft Car Car Car,Footnote Text Char"/>
    <w:basedOn w:val="Normal"/>
    <w:link w:val="TextonotapieCar"/>
    <w:uiPriority w:val="99"/>
    <w:rsid w:val="00A0581F"/>
    <w:rPr>
      <w:lang w:val="es-ES"/>
    </w:rPr>
  </w:style>
  <w:style w:type="character" w:customStyle="1" w:styleId="TextonotapieCar">
    <w:name w:val="Texto nota pie Car"/>
    <w:aliases w:val="ft Car1,Texto nota pie2 Car,ft1 Car,ft Car Car Car1 Car,Texto nota pie Car2 Car,ft Car Car2 Car,ft Car Car1,ft Car Car Car2,ft Car Car Car Car,Footnote Text Char Car"/>
    <w:basedOn w:val="Fuentedeprrafopredeter"/>
    <w:link w:val="Textonotapie"/>
    <w:uiPriority w:val="99"/>
    <w:rsid w:val="00A0581F"/>
    <w:rPr>
      <w:lang w:val="es-ES" w:eastAsia="es-ES"/>
    </w:rPr>
  </w:style>
  <w:style w:type="character" w:styleId="Refdenotaalpie">
    <w:name w:val="footnote reference"/>
    <w:aliases w:val="Ref,de nota al pie,referencia nota al pie"/>
    <w:uiPriority w:val="99"/>
    <w:rsid w:val="00A058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paragraph" w:styleId="Ttulo1">
    <w:name w:val="heading 1"/>
    <w:basedOn w:val="Normal"/>
    <w:next w:val="Normal"/>
    <w:link w:val="Ttulo1Car"/>
    <w:uiPriority w:val="99"/>
    <w:qFormat/>
    <w:pPr>
      <w:keepNext/>
      <w:spacing w:line="480" w:lineRule="auto"/>
      <w:jc w:val="center"/>
      <w:outlineLvl w:val="0"/>
    </w:pPr>
    <w:rPr>
      <w:rFonts w:ascii="Cambria" w:hAnsi="Cambria"/>
      <w:b/>
      <w:bCs/>
      <w:kern w:val="32"/>
      <w:sz w:val="32"/>
      <w:szCs w:val="32"/>
      <w:lang w:eastAsia="x-none"/>
    </w:rPr>
  </w:style>
  <w:style w:type="paragraph" w:styleId="Ttulo2">
    <w:name w:val="heading 2"/>
    <w:basedOn w:val="Normal"/>
    <w:next w:val="Normal"/>
    <w:link w:val="Ttulo2Car"/>
    <w:uiPriority w:val="99"/>
    <w:qFormat/>
    <w:pPr>
      <w:keepNext/>
      <w:outlineLvl w:val="1"/>
    </w:pPr>
    <w:rPr>
      <w:rFonts w:ascii="Cambria" w:hAnsi="Cambria"/>
      <w:b/>
      <w:bCs/>
      <w:i/>
      <w:iCs/>
      <w:sz w:val="28"/>
      <w:szCs w:val="28"/>
      <w:lang w:eastAsia="x-none"/>
    </w:rPr>
  </w:style>
  <w:style w:type="paragraph" w:styleId="Ttulo3">
    <w:name w:val="heading 3"/>
    <w:basedOn w:val="Normal"/>
    <w:next w:val="Normal"/>
    <w:link w:val="Ttulo3Car"/>
    <w:uiPriority w:val="99"/>
    <w:qFormat/>
    <w:pPr>
      <w:keepNext/>
      <w:jc w:val="both"/>
      <w:outlineLvl w:val="2"/>
    </w:pPr>
    <w:rPr>
      <w:rFonts w:ascii="Cambria" w:hAnsi="Cambria"/>
      <w:b/>
      <w:bCs/>
      <w:sz w:val="26"/>
      <w:szCs w:val="26"/>
      <w:lang w:eastAsia="x-none"/>
    </w:rPr>
  </w:style>
  <w:style w:type="paragraph" w:styleId="Ttulo4">
    <w:name w:val="heading 4"/>
    <w:basedOn w:val="Normal"/>
    <w:next w:val="Normal"/>
    <w:link w:val="Ttulo4Car"/>
    <w:uiPriority w:val="99"/>
    <w:qFormat/>
    <w:pPr>
      <w:keepNext/>
      <w:jc w:val="both"/>
      <w:outlineLvl w:val="3"/>
    </w:pPr>
    <w:rPr>
      <w:rFonts w:ascii="Calibri" w:hAnsi="Calibri"/>
      <w:b/>
      <w:bCs/>
      <w:sz w:val="28"/>
      <w:szCs w:val="28"/>
      <w:lang w:eastAsia="x-none"/>
    </w:rPr>
  </w:style>
  <w:style w:type="paragraph" w:styleId="Ttulo5">
    <w:name w:val="heading 5"/>
    <w:basedOn w:val="Normal"/>
    <w:next w:val="Normal"/>
    <w:link w:val="Ttulo5Car"/>
    <w:uiPriority w:val="99"/>
    <w:qFormat/>
    <w:pPr>
      <w:keepNext/>
      <w:jc w:val="both"/>
      <w:outlineLvl w:val="4"/>
    </w:pPr>
    <w:rPr>
      <w:rFonts w:ascii="Calibri" w:hAnsi="Calibri"/>
      <w:b/>
      <w:bCs/>
      <w:i/>
      <w:iCs/>
      <w:sz w:val="26"/>
      <w:szCs w:val="26"/>
      <w:lang w:eastAsia="x-none"/>
    </w:rPr>
  </w:style>
  <w:style w:type="paragraph" w:styleId="Ttulo6">
    <w:name w:val="heading 6"/>
    <w:basedOn w:val="Normal"/>
    <w:next w:val="Normal"/>
    <w:link w:val="Ttulo6Car"/>
    <w:uiPriority w:val="99"/>
    <w:qFormat/>
    <w:pPr>
      <w:keepNext/>
      <w:outlineLvl w:val="5"/>
    </w:pPr>
    <w:rPr>
      <w:rFonts w:ascii="Calibri" w:hAnsi="Calibri"/>
      <w:b/>
      <w:b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
    <w:rPr>
      <w:rFonts w:ascii="Cambria" w:eastAsia="Times New Roman" w:hAnsi="Cambria" w:cs="Times New Roman"/>
      <w:b/>
      <w:bCs/>
      <w:kern w:val="32"/>
      <w:sz w:val="32"/>
      <w:szCs w:val="32"/>
      <w:lang w:val="es-ES_tradnl" w:eastAsia="es-ES"/>
    </w:rPr>
  </w:style>
  <w:style w:type="character" w:customStyle="1" w:styleId="Heading2Char">
    <w:name w:val="Heading 2 Char"/>
    <w:uiPriority w:val="9"/>
    <w:semiHidden/>
    <w:rPr>
      <w:rFonts w:ascii="Cambria" w:eastAsia="Times New Roman" w:hAnsi="Cambria" w:cs="Times New Roman"/>
      <w:b/>
      <w:bCs/>
      <w:i/>
      <w:iCs/>
      <w:sz w:val="28"/>
      <w:szCs w:val="28"/>
      <w:lang w:val="es-ES_tradnl" w:eastAsia="es-ES"/>
    </w:rPr>
  </w:style>
  <w:style w:type="character" w:customStyle="1" w:styleId="Heading3Char">
    <w:name w:val="Heading 3 Char"/>
    <w:uiPriority w:val="9"/>
    <w:semiHidden/>
    <w:rPr>
      <w:rFonts w:ascii="Cambria" w:eastAsia="Times New Roman" w:hAnsi="Cambria" w:cs="Times New Roman"/>
      <w:b/>
      <w:bCs/>
      <w:sz w:val="26"/>
      <w:szCs w:val="26"/>
      <w:lang w:val="es-ES_tradnl" w:eastAsia="es-ES"/>
    </w:rPr>
  </w:style>
  <w:style w:type="character" w:customStyle="1" w:styleId="Heading4Char">
    <w:name w:val="Heading 4 Char"/>
    <w:uiPriority w:val="9"/>
    <w:semiHidden/>
    <w:rPr>
      <w:rFonts w:ascii="Calibri" w:eastAsia="Times New Roman" w:hAnsi="Calibri" w:cs="Times New Roman"/>
      <w:b/>
      <w:bCs/>
      <w:sz w:val="28"/>
      <w:szCs w:val="28"/>
      <w:lang w:val="es-ES_tradnl" w:eastAsia="es-ES"/>
    </w:rPr>
  </w:style>
  <w:style w:type="character" w:customStyle="1" w:styleId="Heading5Char">
    <w:name w:val="Heading 5 Char"/>
    <w:uiPriority w:val="9"/>
    <w:semiHidden/>
    <w:rPr>
      <w:rFonts w:ascii="Calibri" w:eastAsia="Times New Roman" w:hAnsi="Calibri" w:cs="Times New Roman"/>
      <w:b/>
      <w:bCs/>
      <w:i/>
      <w:iCs/>
      <w:sz w:val="26"/>
      <w:szCs w:val="26"/>
      <w:lang w:val="es-ES_tradnl" w:eastAsia="es-ES"/>
    </w:rPr>
  </w:style>
  <w:style w:type="character" w:customStyle="1" w:styleId="Heading6Char">
    <w:name w:val="Heading 6 Char"/>
    <w:uiPriority w:val="9"/>
    <w:semiHidden/>
    <w:rPr>
      <w:rFonts w:ascii="Calibri" w:eastAsia="Times New Roman" w:hAnsi="Calibri" w:cs="Times New Roman"/>
      <w:b/>
      <w:bCs/>
      <w:lang w:val="es-ES_tradnl" w:eastAsia="es-ES"/>
    </w:rPr>
  </w:style>
  <w:style w:type="character" w:customStyle="1" w:styleId="Ttulo1Car">
    <w:name w:val="Título 1 Car"/>
    <w:link w:val="Ttulo1"/>
    <w:uiPriority w:val="99"/>
    <w:locked/>
    <w:rPr>
      <w:rFonts w:ascii="Cambria" w:eastAsia="Times New Roman" w:hAnsi="Cambria" w:cs="Cambria"/>
      <w:b/>
      <w:bCs/>
      <w:kern w:val="32"/>
      <w:sz w:val="32"/>
      <w:szCs w:val="32"/>
      <w:lang w:val="es-ES_tradnl" w:eastAsia="x-none"/>
    </w:rPr>
  </w:style>
  <w:style w:type="character" w:customStyle="1" w:styleId="Ttulo2Car">
    <w:name w:val="Título 2 Car"/>
    <w:link w:val="Ttulo2"/>
    <w:uiPriority w:val="99"/>
    <w:semiHidden/>
    <w:locked/>
    <w:rPr>
      <w:rFonts w:ascii="Cambria" w:eastAsia="Times New Roman" w:hAnsi="Cambria" w:cs="Cambria"/>
      <w:b/>
      <w:bCs/>
      <w:i/>
      <w:iCs/>
      <w:sz w:val="28"/>
      <w:szCs w:val="28"/>
      <w:lang w:val="es-ES_tradnl" w:eastAsia="x-none"/>
    </w:rPr>
  </w:style>
  <w:style w:type="character" w:customStyle="1" w:styleId="Ttulo3Car">
    <w:name w:val="Título 3 Car"/>
    <w:link w:val="Ttulo3"/>
    <w:uiPriority w:val="99"/>
    <w:semiHidden/>
    <w:locked/>
    <w:rPr>
      <w:rFonts w:ascii="Cambria" w:eastAsia="Times New Roman" w:hAnsi="Cambria" w:cs="Cambria"/>
      <w:b/>
      <w:bCs/>
      <w:sz w:val="26"/>
      <w:szCs w:val="26"/>
      <w:lang w:val="es-ES_tradnl" w:eastAsia="x-none"/>
    </w:rPr>
  </w:style>
  <w:style w:type="character" w:customStyle="1" w:styleId="Ttulo4Car">
    <w:name w:val="Título 4 Car"/>
    <w:link w:val="Ttulo4"/>
    <w:uiPriority w:val="99"/>
    <w:semiHidden/>
    <w:locked/>
    <w:rPr>
      <w:rFonts w:ascii="Calibri" w:eastAsia="Times New Roman" w:hAnsi="Calibri" w:cs="Calibri"/>
      <w:b/>
      <w:bCs/>
      <w:sz w:val="28"/>
      <w:szCs w:val="28"/>
      <w:lang w:val="es-ES_tradnl" w:eastAsia="x-none"/>
    </w:rPr>
  </w:style>
  <w:style w:type="character" w:customStyle="1" w:styleId="Ttulo5Car">
    <w:name w:val="Título 5 Car"/>
    <w:link w:val="Ttulo5"/>
    <w:uiPriority w:val="99"/>
    <w:semiHidden/>
    <w:locked/>
    <w:rPr>
      <w:rFonts w:ascii="Calibri" w:eastAsia="Times New Roman" w:hAnsi="Calibri" w:cs="Calibri"/>
      <w:b/>
      <w:bCs/>
      <w:i/>
      <w:iCs/>
      <w:sz w:val="26"/>
      <w:szCs w:val="26"/>
      <w:lang w:val="es-ES_tradnl" w:eastAsia="x-none"/>
    </w:rPr>
  </w:style>
  <w:style w:type="character" w:customStyle="1" w:styleId="Ttulo6Car">
    <w:name w:val="Título 6 Car"/>
    <w:link w:val="Ttulo6"/>
    <w:uiPriority w:val="99"/>
    <w:semiHidden/>
    <w:locked/>
    <w:rPr>
      <w:rFonts w:ascii="Calibri" w:eastAsia="Times New Roman" w:hAnsi="Calibri" w:cs="Calibri"/>
      <w:b/>
      <w:bCs/>
      <w:lang w:val="es-ES_tradnl" w:eastAsia="x-none"/>
    </w:rPr>
  </w:style>
  <w:style w:type="paragraph" w:styleId="Encabezado">
    <w:name w:val="header"/>
    <w:basedOn w:val="Normal"/>
    <w:link w:val="EncabezadoCar"/>
    <w:uiPriority w:val="99"/>
    <w:pPr>
      <w:tabs>
        <w:tab w:val="center" w:pos="4252"/>
        <w:tab w:val="right" w:pos="8504"/>
      </w:tabs>
    </w:pPr>
    <w:rPr>
      <w:lang w:eastAsia="x-none"/>
    </w:rPr>
  </w:style>
  <w:style w:type="character" w:customStyle="1" w:styleId="HeaderChar">
    <w:name w:val="Header Char"/>
    <w:uiPriority w:val="99"/>
    <w:semiHidden/>
    <w:rPr>
      <w:sz w:val="20"/>
      <w:szCs w:val="20"/>
      <w:lang w:val="es-ES_tradnl" w:eastAsia="es-ES"/>
    </w:rPr>
  </w:style>
  <w:style w:type="character" w:customStyle="1" w:styleId="EncabezadoCar">
    <w:name w:val="Encabezado Car"/>
    <w:link w:val="Encabezado"/>
    <w:uiPriority w:val="99"/>
    <w:locked/>
    <w:rPr>
      <w:sz w:val="20"/>
      <w:szCs w:val="20"/>
      <w:lang w:val="es-ES_tradnl" w:eastAsia="x-none"/>
    </w:rPr>
  </w:style>
  <w:style w:type="paragraph" w:styleId="Piedepgina">
    <w:name w:val="footer"/>
    <w:basedOn w:val="Normal"/>
    <w:link w:val="PiedepginaCar"/>
    <w:uiPriority w:val="99"/>
    <w:pPr>
      <w:tabs>
        <w:tab w:val="center" w:pos="4252"/>
        <w:tab w:val="right" w:pos="8504"/>
      </w:tabs>
    </w:pPr>
    <w:rPr>
      <w:lang w:eastAsia="x-none"/>
    </w:rPr>
  </w:style>
  <w:style w:type="character" w:customStyle="1" w:styleId="FooterChar">
    <w:name w:val="Footer Char"/>
    <w:uiPriority w:val="99"/>
    <w:semiHidden/>
    <w:rPr>
      <w:sz w:val="20"/>
      <w:szCs w:val="20"/>
      <w:lang w:val="es-ES_tradnl" w:eastAsia="es-ES"/>
    </w:rPr>
  </w:style>
  <w:style w:type="character" w:customStyle="1" w:styleId="PiedepginaCar">
    <w:name w:val="Pie de página Car"/>
    <w:link w:val="Piedepgina"/>
    <w:uiPriority w:val="99"/>
    <w:semiHidden/>
    <w:locked/>
    <w:rPr>
      <w:sz w:val="20"/>
      <w:szCs w:val="20"/>
      <w:lang w:val="es-ES_tradnl" w:eastAsia="x-none"/>
    </w:rPr>
  </w:style>
  <w:style w:type="paragraph" w:styleId="Mapadeldocumento">
    <w:name w:val="Document Map"/>
    <w:basedOn w:val="Normal"/>
    <w:link w:val="MapadeldocumentoCar"/>
    <w:uiPriority w:val="99"/>
    <w:semiHidden/>
    <w:pPr>
      <w:shd w:val="clear" w:color="auto" w:fill="000080"/>
    </w:pPr>
    <w:rPr>
      <w:rFonts w:ascii="Tahoma" w:hAnsi="Tahoma"/>
      <w:sz w:val="16"/>
      <w:szCs w:val="16"/>
      <w:lang w:eastAsia="x-none"/>
    </w:rPr>
  </w:style>
  <w:style w:type="character" w:customStyle="1" w:styleId="DocumentMapChar">
    <w:name w:val="Document Map Char"/>
    <w:uiPriority w:val="99"/>
    <w:semiHidden/>
    <w:rPr>
      <w:sz w:val="0"/>
      <w:szCs w:val="0"/>
      <w:lang w:val="es-ES_tradnl" w:eastAsia="es-ES"/>
    </w:rPr>
  </w:style>
  <w:style w:type="character" w:customStyle="1" w:styleId="MapadeldocumentoCar">
    <w:name w:val="Mapa del documento Car"/>
    <w:link w:val="Mapadeldocumento"/>
    <w:uiPriority w:val="99"/>
    <w:semiHidden/>
    <w:locked/>
    <w:rPr>
      <w:rFonts w:ascii="Tahoma" w:hAnsi="Tahoma" w:cs="Tahoma"/>
      <w:sz w:val="16"/>
      <w:szCs w:val="16"/>
      <w:lang w:val="es-ES_tradnl" w:eastAsia="x-none"/>
    </w:rPr>
  </w:style>
  <w:style w:type="paragraph" w:styleId="Textodeglobo">
    <w:name w:val="Balloon Text"/>
    <w:basedOn w:val="Normal"/>
    <w:link w:val="TextodegloboCar"/>
    <w:uiPriority w:val="99"/>
    <w:semiHidden/>
    <w:rPr>
      <w:rFonts w:ascii="Tahoma" w:hAnsi="Tahoma"/>
      <w:sz w:val="16"/>
      <w:szCs w:val="16"/>
      <w:lang w:eastAsia="x-none"/>
    </w:rPr>
  </w:style>
  <w:style w:type="character" w:customStyle="1" w:styleId="BalloonTextChar">
    <w:name w:val="Balloon Text Char"/>
    <w:uiPriority w:val="99"/>
    <w:semiHidden/>
    <w:rPr>
      <w:sz w:val="0"/>
      <w:szCs w:val="0"/>
      <w:lang w:val="es-ES_tradnl" w:eastAsia="es-ES"/>
    </w:rPr>
  </w:style>
  <w:style w:type="character" w:customStyle="1" w:styleId="TextodegloboCar">
    <w:name w:val="Texto de globo Car"/>
    <w:link w:val="Textodeglobo"/>
    <w:uiPriority w:val="99"/>
    <w:semiHidden/>
    <w:locked/>
    <w:rPr>
      <w:rFonts w:ascii="Tahoma" w:hAnsi="Tahoma" w:cs="Tahoma"/>
      <w:sz w:val="16"/>
      <w:szCs w:val="16"/>
      <w:lang w:val="es-ES_tradnl" w:eastAsia="x-none"/>
    </w:rPr>
  </w:style>
  <w:style w:type="character" w:styleId="Hipervnculo">
    <w:name w:val="Hyperlink"/>
    <w:uiPriority w:val="99"/>
    <w:rPr>
      <w:color w:val="0000FF"/>
      <w:u w:val="single"/>
    </w:rPr>
  </w:style>
  <w:style w:type="paragraph" w:customStyle="1" w:styleId="estilo4">
    <w:name w:val="estilo4"/>
    <w:basedOn w:val="Normal"/>
    <w:uiPriority w:val="99"/>
    <w:pPr>
      <w:spacing w:before="100" w:beforeAutospacing="1" w:after="100" w:afterAutospacing="1"/>
    </w:pPr>
    <w:rPr>
      <w:color w:val="000000"/>
      <w:sz w:val="24"/>
      <w:szCs w:val="24"/>
      <w:lang w:val="es-ES"/>
    </w:rPr>
  </w:style>
  <w:style w:type="paragraph" w:customStyle="1" w:styleId="estilo5">
    <w:name w:val="estilo5"/>
    <w:basedOn w:val="Normal"/>
    <w:uiPriority w:val="99"/>
    <w:pPr>
      <w:spacing w:before="100" w:beforeAutospacing="1" w:after="100" w:afterAutospacing="1"/>
    </w:pPr>
    <w:rPr>
      <w:sz w:val="24"/>
      <w:szCs w:val="24"/>
      <w:lang w:val="es-ES"/>
    </w:rPr>
  </w:style>
  <w:style w:type="character" w:customStyle="1" w:styleId="estilo61">
    <w:name w:val="estilo61"/>
    <w:uiPriority w:val="99"/>
    <w:rPr>
      <w:b/>
      <w:bCs/>
      <w:color w:val="FF0000"/>
    </w:rPr>
  </w:style>
  <w:style w:type="paragraph" w:styleId="NormalWeb">
    <w:name w:val="Normal (Web)"/>
    <w:basedOn w:val="Normal"/>
    <w:uiPriority w:val="99"/>
    <w:pPr>
      <w:spacing w:before="100" w:beforeAutospacing="1" w:after="100" w:afterAutospacing="1"/>
    </w:pPr>
    <w:rPr>
      <w:sz w:val="24"/>
      <w:szCs w:val="24"/>
      <w:lang w:val="es-ES"/>
    </w:rPr>
  </w:style>
  <w:style w:type="table" w:styleId="Tablaconcuadrcula">
    <w:name w:val="Table Grid"/>
    <w:basedOn w:val="Tabla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6C3B48"/>
    <w:rPr>
      <w:sz w:val="16"/>
      <w:szCs w:val="16"/>
    </w:rPr>
  </w:style>
  <w:style w:type="paragraph" w:styleId="Textocomentario">
    <w:name w:val="annotation text"/>
    <w:basedOn w:val="Normal"/>
    <w:link w:val="TextocomentarioCar"/>
    <w:uiPriority w:val="99"/>
    <w:semiHidden/>
    <w:unhideWhenUsed/>
    <w:rsid w:val="006C3B48"/>
  </w:style>
  <w:style w:type="character" w:customStyle="1" w:styleId="TextocomentarioCar">
    <w:name w:val="Texto comentario Car"/>
    <w:link w:val="Textocomentario"/>
    <w:uiPriority w:val="99"/>
    <w:semiHidden/>
    <w:rsid w:val="006C3B4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C3B48"/>
    <w:rPr>
      <w:b/>
      <w:bCs/>
    </w:rPr>
  </w:style>
  <w:style w:type="character" w:customStyle="1" w:styleId="AsuntodelcomentarioCar">
    <w:name w:val="Asunto del comentario Car"/>
    <w:link w:val="Asuntodelcomentario"/>
    <w:uiPriority w:val="99"/>
    <w:semiHidden/>
    <w:rsid w:val="006C3B48"/>
    <w:rPr>
      <w:b/>
      <w:bCs/>
      <w:lang w:val="es-ES_tradnl" w:eastAsia="es-ES"/>
    </w:rPr>
  </w:style>
  <w:style w:type="paragraph" w:customStyle="1" w:styleId="Default">
    <w:name w:val="Default"/>
    <w:rsid w:val="00E138FD"/>
    <w:pPr>
      <w:autoSpaceDE w:val="0"/>
      <w:autoSpaceDN w:val="0"/>
      <w:adjustRightInd w:val="0"/>
    </w:pPr>
    <w:rPr>
      <w:rFonts w:ascii="Arial" w:eastAsia="Calibri" w:hAnsi="Arial" w:cs="Arial"/>
      <w:color w:val="000000"/>
      <w:sz w:val="24"/>
      <w:szCs w:val="24"/>
      <w:lang w:val="es-ES" w:eastAsia="en-US"/>
    </w:rPr>
  </w:style>
  <w:style w:type="table" w:styleId="Sombreadoclaro-nfasis1">
    <w:name w:val="Light Shading Accent 1"/>
    <w:basedOn w:val="Tablanormal"/>
    <w:uiPriority w:val="60"/>
    <w:rsid w:val="00EE017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tulo">
    <w:name w:val="Title"/>
    <w:basedOn w:val="Normal"/>
    <w:next w:val="Normal"/>
    <w:link w:val="TtuloCar"/>
    <w:uiPriority w:val="10"/>
    <w:qFormat/>
    <w:rsid w:val="00EE017B"/>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E017B"/>
    <w:rPr>
      <w:rFonts w:ascii="Cambria" w:eastAsia="Times New Roman" w:hAnsi="Cambria" w:cs="Times New Roman"/>
      <w:b/>
      <w:bCs/>
      <w:kern w:val="28"/>
      <w:sz w:val="32"/>
      <w:szCs w:val="32"/>
      <w:lang w:val="es-ES_tradnl" w:eastAsia="es-ES"/>
    </w:rPr>
  </w:style>
  <w:style w:type="paragraph" w:customStyle="1" w:styleId="piecuerpo2">
    <w:name w:val="piecuerpo2"/>
    <w:basedOn w:val="Normal"/>
    <w:rsid w:val="00214346"/>
    <w:pPr>
      <w:spacing w:after="100" w:afterAutospacing="1" w:line="225" w:lineRule="atLeast"/>
      <w:ind w:left="750"/>
      <w:textAlignment w:val="top"/>
    </w:pPr>
    <w:rPr>
      <w:rFonts w:ascii="Arial" w:hAnsi="Arial" w:cs="Arial"/>
      <w:color w:val="333333"/>
      <w:sz w:val="17"/>
      <w:szCs w:val="17"/>
      <w:lang w:val="es-CO" w:eastAsia="es-CO"/>
    </w:rPr>
  </w:style>
  <w:style w:type="paragraph" w:styleId="Textonotapie">
    <w:name w:val="footnote text"/>
    <w:aliases w:val="ft,Texto nota pie2,ft1,ft Car Car Car1,Texto nota pie Car2,ft Car Car2,ft Car,ft Car Car,ft Car Car Car,Footnote Text Char"/>
    <w:basedOn w:val="Normal"/>
    <w:link w:val="TextonotapieCar"/>
    <w:uiPriority w:val="99"/>
    <w:rsid w:val="00A0581F"/>
    <w:rPr>
      <w:lang w:val="es-ES"/>
    </w:rPr>
  </w:style>
  <w:style w:type="character" w:customStyle="1" w:styleId="TextonotapieCar">
    <w:name w:val="Texto nota pie Car"/>
    <w:aliases w:val="ft Car1,Texto nota pie2 Car,ft1 Car,ft Car Car Car1 Car,Texto nota pie Car2 Car,ft Car Car2 Car,ft Car Car1,ft Car Car Car2,ft Car Car Car Car,Footnote Text Char Car"/>
    <w:basedOn w:val="Fuentedeprrafopredeter"/>
    <w:link w:val="Textonotapie"/>
    <w:uiPriority w:val="99"/>
    <w:rsid w:val="00A0581F"/>
    <w:rPr>
      <w:lang w:val="es-ES" w:eastAsia="es-ES"/>
    </w:rPr>
  </w:style>
  <w:style w:type="character" w:styleId="Refdenotaalpie">
    <w:name w:val="footnote reference"/>
    <w:aliases w:val="Ref,de nota al pie,referencia nota al pie"/>
    <w:uiPriority w:val="99"/>
    <w:rsid w:val="00A05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7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contactenos@shd.gov.co" TargetMode="External"/><Relationship Id="rId2" Type="http://schemas.openxmlformats.org/officeDocument/2006/relationships/hyperlink" Target="mailto:contactenos@shd.gov.co" TargetMode="External"/><Relationship Id="rId1" Type="http://schemas.openxmlformats.org/officeDocument/2006/relationships/image" Target="media/image2.jp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A2BD7-16F5-4A4E-8329-8786B5B7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1884</Words>
  <Characters>10367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Plantilla oficios SDH - Julio 2012</vt:lpstr>
    </vt:vector>
  </TitlesOfParts>
  <Company>LG  Electronics Inc.</Company>
  <LinksUpToDate>false</LinksUpToDate>
  <CharactersWithSpaces>12227</CharactersWithSpaces>
  <SharedDoc>false</SharedDoc>
  <HLinks>
    <vt:vector size="6" baseType="variant">
      <vt:variant>
        <vt:i4>5242948</vt:i4>
      </vt:variant>
      <vt:variant>
        <vt:i4>0</vt:i4>
      </vt:variant>
      <vt:variant>
        <vt:i4>0</vt:i4>
      </vt:variant>
      <vt:variant>
        <vt:i4>5</vt:i4>
      </vt:variant>
      <vt:variant>
        <vt:lpwstr>http://www.haciendabogota.gov.co/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oficios SDH - Julio 2012</dc:title>
  <dc:subject>Plantillas manual de estilo 2012 Bogotá Humana</dc:subject>
  <dc:creator>Juan Guillermo Acosta Rada;Juan Carlos Lara Bonilla</dc:creator>
  <cp:keywords>Plantillas</cp:keywords>
  <cp:lastModifiedBy>Helberth Alexander Forero Vergara</cp:lastModifiedBy>
  <cp:revision>3</cp:revision>
  <cp:lastPrinted>2009-09-01T20:25:00Z</cp:lastPrinted>
  <dcterms:created xsi:type="dcterms:W3CDTF">2019-12-19T13:43:00Z</dcterms:created>
  <dcterms:modified xsi:type="dcterms:W3CDTF">2019-12-19T14:40:00Z</dcterms:modified>
</cp:coreProperties>
</file>