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F41B" w14:textId="77777777" w:rsidR="001635D8" w:rsidRPr="00E24A47" w:rsidRDefault="001635D8" w:rsidP="001635D8">
      <w:pPr>
        <w:jc w:val="both"/>
        <w:rPr>
          <w:color w:val="0D0D0D" w:themeColor="text1" w:themeTint="F2"/>
        </w:rPr>
      </w:pPr>
    </w:p>
    <w:p w14:paraId="4FF4854D" w14:textId="77777777" w:rsidR="001635D8" w:rsidRPr="00E24A47" w:rsidRDefault="001635D8" w:rsidP="001635D8">
      <w:pPr>
        <w:shd w:val="clear" w:color="auto" w:fill="FFFFFF"/>
        <w:jc w:val="center"/>
        <w:rPr>
          <w:b/>
          <w:bCs/>
          <w:color w:val="0D0D0D" w:themeColor="text1" w:themeTint="F2"/>
        </w:rPr>
      </w:pPr>
      <w:r w:rsidRPr="00E24A47">
        <w:rPr>
          <w:b/>
          <w:bCs/>
          <w:color w:val="0D0D0D" w:themeColor="text1" w:themeTint="F2"/>
        </w:rPr>
        <w:t>EL GERENTE JURÍDICO DE LA UNIDAD ADMINISTRATIVA ESPECIAL DE CATASTRO DISTRITAL (UAECD).</w:t>
      </w:r>
    </w:p>
    <w:p w14:paraId="72AABE7A" w14:textId="77777777" w:rsidR="001635D8" w:rsidRPr="00E24A47" w:rsidRDefault="001635D8" w:rsidP="001635D8">
      <w:pPr>
        <w:shd w:val="clear" w:color="auto" w:fill="FFFFFF"/>
        <w:jc w:val="both"/>
        <w:rPr>
          <w:b/>
          <w:bCs/>
          <w:color w:val="0D0D0D" w:themeColor="text1" w:themeTint="F2"/>
        </w:rPr>
      </w:pPr>
    </w:p>
    <w:p w14:paraId="1B5A308E" w14:textId="77777777" w:rsidR="001635D8" w:rsidRPr="00E24A47" w:rsidRDefault="001635D8" w:rsidP="001635D8">
      <w:pPr>
        <w:shd w:val="clear" w:color="auto" w:fill="FFFFFF"/>
        <w:jc w:val="both"/>
        <w:rPr>
          <w:color w:val="0D0D0D" w:themeColor="text1" w:themeTint="F2"/>
        </w:rPr>
      </w:pPr>
    </w:p>
    <w:p w14:paraId="6E057028" w14:textId="77777777" w:rsidR="001635D8" w:rsidRPr="00E24A47" w:rsidRDefault="001635D8" w:rsidP="001635D8">
      <w:pPr>
        <w:pStyle w:val="HTMLconformatoprevio"/>
        <w:jc w:val="both"/>
        <w:rPr>
          <w:rFonts w:ascii="Times New Roman" w:hAnsi="Times New Roman" w:cs="Times New Roman"/>
          <w:color w:val="0D0D0D" w:themeColor="text1" w:themeTint="F2"/>
          <w:sz w:val="24"/>
          <w:szCs w:val="24"/>
        </w:rPr>
      </w:pPr>
      <w:r w:rsidRPr="00E24A47">
        <w:rPr>
          <w:rFonts w:ascii="Times New Roman" w:hAnsi="Times New Roman" w:cs="Times New Roman"/>
          <w:color w:val="0D0D0D" w:themeColor="text1" w:themeTint="F2"/>
          <w:sz w:val="24"/>
          <w:szCs w:val="24"/>
        </w:rPr>
        <w:t>En virtud de la delegación efectuada por el Director de la UAECD, a través de la Resolución 0023 de 2022, modificada por las resoluciones 0550 y 1333 del 2022, entidad que presta el servicio público catastral en condición de Gestor Catastral del Distrito Turístico y Cultural de Cartagena de Indias en el marco del Contrato Interadministrativo 0059 de 2021, y en uso de sus facultades legales y conforme lo dispuesto en el artículo 79 de la Ley 1955 de 2019 modificado por el artículo 43 de la Ley 2294 de 2023; el parágrafo 1 del artículo 63 del Acuerdo Distrital 257 de 2006, adicionado por el artículo 129 del Acuerdo Distrital 761 de 2020, el Acuerdo 004 de 2021 del Consejo Directivo de la UAECD y en especial la Resolución  1040 de 2023 expedida por el Instituto Geográfico Agustín Codazzi-IGAC- y/o sus modificaciones y/o complementaciones, y,</w:t>
      </w:r>
    </w:p>
    <w:p w14:paraId="7CFD6C59" w14:textId="77777777" w:rsidR="00A05AB0" w:rsidRPr="00803AD9" w:rsidRDefault="00A05AB0" w:rsidP="003B1E20">
      <w:pPr>
        <w:pStyle w:val="Textoindependiente"/>
        <w:jc w:val="center"/>
        <w:rPr>
          <w:color w:val="000000" w:themeColor="text1"/>
        </w:rPr>
      </w:pPr>
    </w:p>
    <w:p w14:paraId="213293E3" w14:textId="77777777" w:rsidR="00A05AB0" w:rsidRPr="00803AD9" w:rsidRDefault="00716962" w:rsidP="003B1E20">
      <w:pPr>
        <w:pStyle w:val="Ttulo1"/>
        <w:ind w:left="0" w:right="0"/>
        <w:rPr>
          <w:color w:val="000000" w:themeColor="text1"/>
        </w:rPr>
      </w:pPr>
      <w:r w:rsidRPr="00803AD9">
        <w:rPr>
          <w:color w:val="000000" w:themeColor="text1"/>
          <w:spacing w:val="-2"/>
        </w:rPr>
        <w:t>CONSIDERANDO:</w:t>
      </w:r>
    </w:p>
    <w:p w14:paraId="2C602131" w14:textId="77777777" w:rsidR="00A05AB0" w:rsidRPr="00803AD9" w:rsidRDefault="00A05AB0" w:rsidP="00CC43EB">
      <w:pPr>
        <w:pStyle w:val="Textoindependiente"/>
        <w:jc w:val="both"/>
        <w:rPr>
          <w:b/>
          <w:color w:val="000000" w:themeColor="text1"/>
        </w:rPr>
      </w:pPr>
    </w:p>
    <w:p w14:paraId="1FDD0F66" w14:textId="0367EB43" w:rsidR="007B52B6" w:rsidRPr="00803AD9" w:rsidRDefault="007B52B6" w:rsidP="007B52B6">
      <w:pPr>
        <w:shd w:val="clear" w:color="auto" w:fill="FFFFFF"/>
        <w:jc w:val="both"/>
        <w:rPr>
          <w:color w:val="000000" w:themeColor="text1"/>
          <w:sz w:val="24"/>
          <w:szCs w:val="24"/>
          <w:lang w:eastAsia="es-CO"/>
        </w:rPr>
      </w:pPr>
      <w:r w:rsidRPr="00803AD9">
        <w:rPr>
          <w:color w:val="000000" w:themeColor="text1"/>
          <w:sz w:val="24"/>
          <w:szCs w:val="24"/>
          <w:lang w:eastAsia="es-CO"/>
        </w:rPr>
        <w:t>Que el artículo </w:t>
      </w:r>
      <w:hyperlink r:id="rId7" w:anchor="79" w:history="1">
        <w:r w:rsidRPr="00803AD9">
          <w:rPr>
            <w:color w:val="000000" w:themeColor="text1"/>
            <w:sz w:val="24"/>
            <w:szCs w:val="24"/>
            <w:lang w:eastAsia="es-CO"/>
          </w:rPr>
          <w:t>79</w:t>
        </w:r>
      </w:hyperlink>
      <w:r w:rsidRPr="00803AD9">
        <w:rPr>
          <w:color w:val="000000" w:themeColor="text1"/>
          <w:sz w:val="24"/>
          <w:szCs w:val="24"/>
          <w:lang w:eastAsia="es-CO"/>
        </w:rPr>
        <w:t> de la Ley 1955 de 2019, modificado por el artículo 43 de la Ley 2294 de 2023 mediante la cual se expide el Plan Nacional de Desarrollo 2018-2022</w:t>
      </w:r>
      <w:r w:rsidR="00803AD9" w:rsidRPr="00803AD9">
        <w:rPr>
          <w:color w:val="000000" w:themeColor="text1"/>
          <w:sz w:val="24"/>
          <w:szCs w:val="24"/>
          <w:lang w:eastAsia="es-CO"/>
        </w:rPr>
        <w:t xml:space="preserve"> </w:t>
      </w:r>
      <w:r w:rsidR="00803AD9" w:rsidRPr="00803AD9">
        <w:rPr>
          <w:color w:val="000000" w:themeColor="text1"/>
          <w:sz w:val="24"/>
          <w:szCs w:val="24"/>
          <w:shd w:val="clear" w:color="auto" w:fill="FFFFFF"/>
        </w:rPr>
        <w:t>“Colombia Potencia Mundial de la Vida”,</w:t>
      </w:r>
      <w:r w:rsidRPr="00803AD9">
        <w:rPr>
          <w:color w:val="000000" w:themeColor="text1"/>
          <w:sz w:val="24"/>
          <w:szCs w:val="24"/>
          <w:lang w:eastAsia="es-CO"/>
        </w:rPr>
        <w:t xml:space="preserve">, determina que </w:t>
      </w:r>
      <w:r w:rsidRPr="00803AD9">
        <w:rPr>
          <w:i/>
          <w:iCs/>
          <w:color w:val="000000" w:themeColor="text1"/>
          <w:sz w:val="24"/>
          <w:szCs w:val="24"/>
          <w:lang w:eastAsia="es-CO"/>
        </w:rPr>
        <w:t>“</w:t>
      </w:r>
      <w:r w:rsidRPr="00803AD9">
        <w:rPr>
          <w:i/>
          <w:iCs/>
          <w:color w:val="000000" w:themeColor="text1"/>
          <w:sz w:val="24"/>
          <w:szCs w:val="24"/>
        </w:rPr>
        <w:t xml:space="preserve">La gestión catastral es un servicio público prestado directamente por el Estado, que comprende un conjunto de operaciones técnicas y administrativas orientadas a la adecuada formación, actualización, conservación y difusión de la información catastral con enfoque multipropósito, para contribuir a la prestación eficiente de servicios y trámites de información catastral a la ciudadanía y a la administración del territorio en términos de apoyo para la seguridad jurídica del derecho de propiedad inmueble, el fortalecimiento de los fiscos locales y el apoyo a los procesos de planeación y ordenamiento territorial, con perspectiva intercultural”. </w:t>
      </w:r>
    </w:p>
    <w:p w14:paraId="7EA48315" w14:textId="77777777" w:rsidR="007B52B6" w:rsidRPr="00803AD9" w:rsidRDefault="007B52B6" w:rsidP="007B52B6">
      <w:pPr>
        <w:shd w:val="clear" w:color="auto" w:fill="FFFFFF"/>
        <w:jc w:val="both"/>
        <w:rPr>
          <w:color w:val="000000" w:themeColor="text1"/>
          <w:sz w:val="24"/>
          <w:szCs w:val="24"/>
        </w:rPr>
      </w:pPr>
    </w:p>
    <w:p w14:paraId="77897C31" w14:textId="40BECE64" w:rsidR="007B52B6" w:rsidRPr="00803AD9" w:rsidRDefault="00803AD9" w:rsidP="007B52B6">
      <w:pPr>
        <w:shd w:val="clear" w:color="auto" w:fill="FFFFFF"/>
        <w:jc w:val="both"/>
        <w:rPr>
          <w:i/>
          <w:iCs/>
          <w:color w:val="000000" w:themeColor="text1"/>
          <w:sz w:val="24"/>
          <w:szCs w:val="24"/>
          <w:shd w:val="clear" w:color="auto" w:fill="FFFFFF"/>
        </w:rPr>
      </w:pPr>
      <w:r w:rsidRPr="00803AD9">
        <w:rPr>
          <w:color w:val="000000" w:themeColor="text1"/>
          <w:sz w:val="24"/>
          <w:szCs w:val="24"/>
          <w:shd w:val="clear" w:color="auto" w:fill="FFFFFF"/>
        </w:rPr>
        <w:t>Que de conformidad con lo previsto en los artículos 43 y 47 de la Ley 2294 de 2023, el Instituto Geográfico Agustín Codazzi -IGAC- expidió la Resolución 1040 de 2023, </w:t>
      </w:r>
      <w:r w:rsidRPr="00803AD9">
        <w:rPr>
          <w:i/>
          <w:iCs/>
          <w:color w:val="000000" w:themeColor="text1"/>
          <w:sz w:val="24"/>
          <w:szCs w:val="24"/>
          <w:shd w:val="clear" w:color="auto" w:fill="FFFFFF"/>
        </w:rPr>
        <w:t>“Por medio de la cual se expide la resolución única de la gestión catastral multipropósito”.</w:t>
      </w:r>
    </w:p>
    <w:p w14:paraId="5F8C68F2" w14:textId="77777777" w:rsidR="00803AD9" w:rsidRPr="00803AD9" w:rsidRDefault="00803AD9" w:rsidP="007B52B6">
      <w:pPr>
        <w:shd w:val="clear" w:color="auto" w:fill="FFFFFF"/>
        <w:jc w:val="both"/>
        <w:rPr>
          <w:i/>
          <w:iCs/>
          <w:color w:val="000000" w:themeColor="text1"/>
          <w:sz w:val="24"/>
          <w:szCs w:val="24"/>
        </w:rPr>
      </w:pPr>
    </w:p>
    <w:p w14:paraId="5952437D" w14:textId="61AC8DB0" w:rsidR="007B52B6" w:rsidRDefault="00803AD9" w:rsidP="007B52B6">
      <w:pPr>
        <w:shd w:val="clear" w:color="auto" w:fill="FFFFFF"/>
        <w:jc w:val="both"/>
        <w:rPr>
          <w:color w:val="000000" w:themeColor="text1"/>
          <w:sz w:val="24"/>
          <w:szCs w:val="24"/>
          <w:shd w:val="clear" w:color="auto" w:fill="FFFFFF"/>
        </w:rPr>
      </w:pPr>
      <w:r w:rsidRPr="00803AD9">
        <w:rPr>
          <w:color w:val="000000" w:themeColor="text1"/>
          <w:sz w:val="24"/>
          <w:szCs w:val="24"/>
          <w:shd w:val="clear" w:color="auto" w:fill="FFFFFF"/>
        </w:rPr>
        <w:t>Que la Resolución 1040 de 2023 entró a regir el 10 de agosto de 2023, salvo lo dispuesto en sus títulos IV y V, que tratan sobre los procesos de la gestión catastral multipropósito (formación, actualización, conservación y difusión de la información catastral) y las especificaciones técnicas de producto de la base de datos catastral, los cuales, según el artículo 8.4 </w:t>
      </w:r>
      <w:r w:rsidRPr="00803AD9">
        <w:rPr>
          <w:i/>
          <w:iCs/>
          <w:color w:val="000000" w:themeColor="text1"/>
          <w:sz w:val="24"/>
          <w:szCs w:val="24"/>
        </w:rPr>
        <w:t>ibidem</w:t>
      </w:r>
      <w:r w:rsidRPr="00803AD9">
        <w:rPr>
          <w:color w:val="000000" w:themeColor="text1"/>
          <w:sz w:val="24"/>
          <w:szCs w:val="24"/>
          <w:shd w:val="clear" w:color="auto" w:fill="FFFFFF"/>
        </w:rPr>
        <w:t>, regirán a partir del 01 de enero de 2024. Por consiguiente, las disposiciones aplicables a las materias reguladas en dichos títulos, hasta el 31 de diciembre de 2023, son las Resoluciones 1149 de 2021 y 388 de 2020 con sus modificaciones, expedidas por el IGAC.</w:t>
      </w:r>
    </w:p>
    <w:p w14:paraId="33C48D27" w14:textId="1667E072" w:rsidR="001635D8" w:rsidRDefault="001635D8" w:rsidP="007B52B6">
      <w:pPr>
        <w:shd w:val="clear" w:color="auto" w:fill="FFFFFF"/>
        <w:jc w:val="both"/>
        <w:rPr>
          <w:color w:val="000000" w:themeColor="text1"/>
          <w:sz w:val="24"/>
          <w:szCs w:val="24"/>
          <w:shd w:val="clear" w:color="auto" w:fill="FFFFFF"/>
        </w:rPr>
      </w:pPr>
    </w:p>
    <w:p w14:paraId="2A1A2FA3" w14:textId="77777777" w:rsidR="001635D8" w:rsidRPr="00803AD9" w:rsidRDefault="001635D8" w:rsidP="007B52B6">
      <w:pPr>
        <w:shd w:val="clear" w:color="auto" w:fill="FFFFFF"/>
        <w:jc w:val="both"/>
        <w:rPr>
          <w:color w:val="000000" w:themeColor="text1"/>
          <w:sz w:val="24"/>
          <w:szCs w:val="24"/>
          <w:shd w:val="clear" w:color="auto" w:fill="FFFFFF"/>
        </w:rPr>
      </w:pPr>
    </w:p>
    <w:p w14:paraId="31418B2C" w14:textId="77777777" w:rsidR="00803AD9" w:rsidRPr="00803AD9" w:rsidRDefault="00803AD9" w:rsidP="007B52B6">
      <w:pPr>
        <w:shd w:val="clear" w:color="auto" w:fill="FFFFFF"/>
        <w:jc w:val="both"/>
        <w:rPr>
          <w:color w:val="000000" w:themeColor="text1"/>
          <w:sz w:val="24"/>
          <w:szCs w:val="24"/>
          <w:lang w:eastAsia="es-CO"/>
        </w:rPr>
      </w:pPr>
    </w:p>
    <w:p w14:paraId="43F3E821" w14:textId="0CE8AFCF" w:rsidR="007B52B6" w:rsidRPr="00803AD9" w:rsidRDefault="007B52B6" w:rsidP="007B52B6">
      <w:pPr>
        <w:shd w:val="clear" w:color="auto" w:fill="FFFFFF"/>
        <w:jc w:val="both"/>
        <w:rPr>
          <w:color w:val="000000" w:themeColor="text1"/>
          <w:sz w:val="24"/>
          <w:szCs w:val="24"/>
          <w:lang w:eastAsia="es-CO"/>
        </w:rPr>
      </w:pPr>
      <w:r w:rsidRPr="00803AD9">
        <w:rPr>
          <w:color w:val="000000" w:themeColor="text1"/>
          <w:sz w:val="24"/>
          <w:szCs w:val="24"/>
          <w:lang w:eastAsia="es-CO"/>
        </w:rPr>
        <w:lastRenderedPageBreak/>
        <w:t xml:space="preserve">Que en cumplimiento de lo dispuesto en las Resoluciones 388 de 2020 y 1149 de 2021, la Unidad Administrativa Especial de Catastro Distrital, ha venido adelantando las actividades correspondientes </w:t>
      </w:r>
      <w:r w:rsidR="009B118E" w:rsidRPr="00803AD9">
        <w:rPr>
          <w:color w:val="000000" w:themeColor="text1"/>
          <w:sz w:val="24"/>
          <w:szCs w:val="24"/>
          <w:lang w:eastAsia="es-CO"/>
        </w:rPr>
        <w:t xml:space="preserve">al proceso de </w:t>
      </w:r>
      <w:r w:rsidRPr="00803AD9">
        <w:rPr>
          <w:color w:val="000000" w:themeColor="text1"/>
          <w:sz w:val="24"/>
          <w:szCs w:val="24"/>
          <w:lang w:eastAsia="es-CO"/>
        </w:rPr>
        <w:t>conservación catastral con la finalidad de incorporar en la base de datos catastral los cambios en la información física, jurídica y económica de los bienes inmuebles.</w:t>
      </w:r>
    </w:p>
    <w:p w14:paraId="089FC8C2" w14:textId="2FB0BFCA" w:rsidR="001635D8" w:rsidRPr="001635D8" w:rsidRDefault="001635D8" w:rsidP="001635D8">
      <w:pPr>
        <w:spacing w:before="100" w:beforeAutospacing="1" w:after="100" w:afterAutospacing="1"/>
        <w:jc w:val="both"/>
        <w:rPr>
          <w:i/>
          <w:color w:val="0D0D0D" w:themeColor="text1" w:themeTint="F2"/>
          <w:sz w:val="24"/>
          <w:szCs w:val="24"/>
        </w:rPr>
      </w:pPr>
      <w:bookmarkStart w:id="0" w:name="_GoBack"/>
      <w:bookmarkEnd w:id="0"/>
      <w:r w:rsidRPr="001635D8">
        <w:rPr>
          <w:color w:val="0D0D0D" w:themeColor="text1" w:themeTint="F2"/>
          <w:sz w:val="24"/>
          <w:szCs w:val="24"/>
        </w:rPr>
        <w:t xml:space="preserve">Que a la Unidad Administrativa Especial de Catastro Distrital-UAECD- como gestor catastral del Distrito Turístico y Cultural de Cartagena de Indias en virtud del Contrato Interadministrativo 0059 de 2021, le corresponde, entre otras actividades: (…) </w:t>
      </w:r>
      <w:r w:rsidRPr="001635D8">
        <w:rPr>
          <w:i/>
          <w:color w:val="0D0D0D" w:themeColor="text1" w:themeTint="F2"/>
          <w:sz w:val="24"/>
          <w:szCs w:val="24"/>
        </w:rPr>
        <w:t>3.1.3. Prestar el servicio en forma continua y eficiente, garantizando los recursos físicos, tecnológicos y organizacionales para la prestación óptima del servicio público catastral (…) 3.1.11. Realizar el proceso de actualización catastral urbano y rural del Distrito de Cartagena de Indias en el año 2022, con efectos fiscales en el año 2023, de acuerdo con el cronograma que se establezca en coordinación con el Distrito de Cartagena (…) 3.1.12. Realizar la operación para la conservación catastral del DISTRITO DE CARTAGENA (2022-2023)</w:t>
      </w:r>
      <w:r w:rsidRPr="001635D8">
        <w:rPr>
          <w:color w:val="0D0D0D" w:themeColor="text1" w:themeTint="F2"/>
          <w:sz w:val="24"/>
          <w:szCs w:val="24"/>
        </w:rPr>
        <w:t xml:space="preserve">, </w:t>
      </w:r>
      <w:r w:rsidRPr="001635D8">
        <w:rPr>
          <w:i/>
          <w:color w:val="0D0D0D" w:themeColor="text1" w:themeTint="F2"/>
          <w:sz w:val="24"/>
          <w:szCs w:val="24"/>
        </w:rPr>
        <w:t xml:space="preserve">durante la duración del contrato, de las solicitudes y/o trámites sin finalizar o sin atender, las solicitudes y/o trámites nuevos, así como peticiones judiciales y administrativas, en los tiempos definidos por la normatividad vigente y bajo los acuerdos de nivel de servicio definidos entre las partes (…) 3.4.1.3.11 Expedir la resolución de puesta en vigencia de la actualización catastral, así como la expedición de los actos administrativos para la aplicación de los procedimientos catastrales con efectos registrales, la corrección y/o inclusión de cabida en procesos de ordenamiento social de la propiedad, y la corrección de área y/o linderos mediante escrituras aclaratorias (…). </w:t>
      </w:r>
    </w:p>
    <w:p w14:paraId="2ABA7D0E" w14:textId="4F5C3F4D" w:rsidR="001635D8" w:rsidRPr="001635D8" w:rsidRDefault="001635D8" w:rsidP="001635D8">
      <w:pPr>
        <w:spacing w:before="100" w:beforeAutospacing="1" w:after="100" w:afterAutospacing="1"/>
        <w:jc w:val="both"/>
        <w:rPr>
          <w:i/>
          <w:color w:val="0D0D0D" w:themeColor="text1" w:themeTint="F2"/>
          <w:sz w:val="24"/>
          <w:szCs w:val="24"/>
        </w:rPr>
      </w:pPr>
    </w:p>
    <w:p w14:paraId="74E56C73" w14:textId="77777777" w:rsidR="001635D8" w:rsidRPr="001635D8" w:rsidRDefault="001635D8" w:rsidP="001635D8">
      <w:pPr>
        <w:spacing w:before="100" w:beforeAutospacing="1" w:after="100" w:afterAutospacing="1"/>
        <w:jc w:val="both"/>
        <w:rPr>
          <w:color w:val="0D0D0D" w:themeColor="text1" w:themeTint="F2"/>
          <w:sz w:val="24"/>
          <w:szCs w:val="24"/>
        </w:rPr>
      </w:pPr>
      <w:r w:rsidRPr="001635D8">
        <w:rPr>
          <w:color w:val="0D0D0D" w:themeColor="text1" w:themeTint="F2"/>
          <w:sz w:val="24"/>
          <w:szCs w:val="24"/>
        </w:rPr>
        <w:t xml:space="preserve">Que mediante Resolución n.º 0023 de 2022, expedida por la Unidad Administrativa Especial de Catastro Distrital-UAECD-, modificada por las Resoluciones </w:t>
      </w:r>
      <w:proofErr w:type="spellStart"/>
      <w:r w:rsidRPr="001635D8">
        <w:rPr>
          <w:color w:val="0D0D0D" w:themeColor="text1" w:themeTint="F2"/>
          <w:sz w:val="24"/>
          <w:szCs w:val="24"/>
        </w:rPr>
        <w:t>n.</w:t>
      </w:r>
      <w:r w:rsidRPr="001635D8">
        <w:rPr>
          <w:color w:val="0D0D0D" w:themeColor="text1" w:themeTint="F2"/>
          <w:sz w:val="24"/>
          <w:szCs w:val="24"/>
          <w:vertAlign w:val="superscript"/>
        </w:rPr>
        <w:t>os</w:t>
      </w:r>
      <w:proofErr w:type="spellEnd"/>
      <w:r w:rsidRPr="001635D8">
        <w:rPr>
          <w:color w:val="0D0D0D" w:themeColor="text1" w:themeTint="F2"/>
          <w:sz w:val="24"/>
          <w:szCs w:val="24"/>
        </w:rPr>
        <w:t xml:space="preserve"> 0550 y 1333 de 2022, se estableció la sede para la prestación de los servicios de gestión catastral multipropósito en la jurisdicción del Distrito Turístico y Cultural de Cartagena de Indias y se efectuó una delegación  en el servidor que se encuentre desempeñando el cargo de Gerente Jurídico Código 39 Grado 04 en la planta de personal de la UAECD, quien, entre otras, tiene las siguientes funciones: </w:t>
      </w:r>
    </w:p>
    <w:p w14:paraId="0B099571" w14:textId="0F059330" w:rsidR="007B52B6" w:rsidRPr="001635D8" w:rsidRDefault="001635D8" w:rsidP="00CC43EB">
      <w:pPr>
        <w:pStyle w:val="Prrafodelista"/>
        <w:widowControl/>
        <w:numPr>
          <w:ilvl w:val="0"/>
          <w:numId w:val="3"/>
        </w:numPr>
        <w:autoSpaceDE/>
        <w:autoSpaceDN/>
        <w:spacing w:before="100" w:beforeAutospacing="1" w:after="100" w:afterAutospacing="1"/>
        <w:contextualSpacing/>
        <w:jc w:val="both"/>
        <w:rPr>
          <w:color w:val="0D0D0D" w:themeColor="text1" w:themeTint="F2"/>
          <w:sz w:val="24"/>
          <w:szCs w:val="24"/>
        </w:rPr>
      </w:pPr>
      <w:r w:rsidRPr="001635D8">
        <w:rPr>
          <w:i/>
          <w:color w:val="0D0D0D" w:themeColor="text1" w:themeTint="F2"/>
          <w:sz w:val="24"/>
          <w:szCs w:val="24"/>
        </w:rPr>
        <w:t xml:space="preserve">Prestar el servicio público de gestión catastral multipropósito en la entidad territorial, garantizando la calidad, veracidad e integridad la información catastral, en sus componentes físico, jurídico y económico, cumpliendo con la normativa que regula la prestación del servicio y las demás obligaciones previstas en las normas vigentes, 2. Realizar, mantener y actualizar el censo catastral de la entidad territorial en las que opere como gestor catastral en sus diversos aspectos, en particular fijar el valor de los bienes inmuebles que sirve como base para la determinación de los impuestos sobre dichos bienes (…) 6. Adelantar los procesos de formación, actualización, conservación y difusión de la información catastral, así como los procedimientos del enfoque </w:t>
      </w:r>
      <w:r w:rsidRPr="001635D8">
        <w:rPr>
          <w:i/>
          <w:color w:val="0D0D0D" w:themeColor="text1" w:themeTint="F2"/>
          <w:sz w:val="24"/>
          <w:szCs w:val="24"/>
        </w:rPr>
        <w:lastRenderedPageBreak/>
        <w:t xml:space="preserve">catastral multipropósito, 7. Expedir los actos administrativos necesarios para el cumplimiento de las actividades propias de la gestión </w:t>
      </w:r>
      <w:proofErr w:type="gramStart"/>
      <w:r w:rsidRPr="001635D8">
        <w:rPr>
          <w:i/>
          <w:color w:val="0D0D0D" w:themeColor="text1" w:themeTint="F2"/>
          <w:sz w:val="24"/>
          <w:szCs w:val="24"/>
        </w:rPr>
        <w:t>catastral(</w:t>
      </w:r>
      <w:proofErr w:type="gramEnd"/>
      <w:r w:rsidRPr="001635D8">
        <w:rPr>
          <w:i/>
          <w:color w:val="0D0D0D" w:themeColor="text1" w:themeTint="F2"/>
          <w:sz w:val="24"/>
          <w:szCs w:val="24"/>
        </w:rPr>
        <w:t>…)</w:t>
      </w:r>
      <w:r w:rsidRPr="001635D8">
        <w:rPr>
          <w:color w:val="0D0D0D" w:themeColor="text1" w:themeTint="F2"/>
          <w:sz w:val="24"/>
          <w:szCs w:val="24"/>
        </w:rPr>
        <w:t xml:space="preserve">. </w:t>
      </w:r>
    </w:p>
    <w:p w14:paraId="697A406B" w14:textId="11D26F88" w:rsidR="00867AB0" w:rsidRPr="00803AD9" w:rsidRDefault="00867AB0" w:rsidP="00867AB0">
      <w:pPr>
        <w:jc w:val="both"/>
        <w:rPr>
          <w:color w:val="000000" w:themeColor="text1"/>
          <w:sz w:val="24"/>
          <w:szCs w:val="24"/>
        </w:rPr>
      </w:pPr>
      <w:r w:rsidRPr="00803AD9">
        <w:rPr>
          <w:color w:val="000000" w:themeColor="text1"/>
          <w:sz w:val="24"/>
          <w:szCs w:val="24"/>
        </w:rPr>
        <w:t xml:space="preserve">Que, en este orden, es importante preparar y efectuar de manera oportuna por parte de la UAECD, la entrega a la Secretaría de Hacienda del </w:t>
      </w:r>
      <w:bookmarkStart w:id="1" w:name="_Hlk152152196"/>
      <w:r w:rsidR="001635D8">
        <w:rPr>
          <w:color w:val="000000" w:themeColor="text1"/>
          <w:sz w:val="24"/>
          <w:szCs w:val="24"/>
        </w:rPr>
        <w:t xml:space="preserve">Distrito Turístico y Cultural de Cartagena </w:t>
      </w:r>
      <w:bookmarkEnd w:id="1"/>
      <w:r w:rsidR="001635D8">
        <w:rPr>
          <w:color w:val="000000" w:themeColor="text1"/>
          <w:sz w:val="24"/>
          <w:szCs w:val="24"/>
        </w:rPr>
        <w:t xml:space="preserve">de Indias </w:t>
      </w:r>
      <w:r w:rsidRPr="00803AD9">
        <w:rPr>
          <w:color w:val="000000" w:themeColor="text1"/>
          <w:sz w:val="24"/>
          <w:szCs w:val="24"/>
        </w:rPr>
        <w:t xml:space="preserve">de la información resultado </w:t>
      </w:r>
      <w:r w:rsidR="007B52B6" w:rsidRPr="00803AD9">
        <w:rPr>
          <w:color w:val="000000" w:themeColor="text1"/>
          <w:sz w:val="24"/>
          <w:szCs w:val="24"/>
        </w:rPr>
        <w:t>de la</w:t>
      </w:r>
      <w:r w:rsidR="00DD210A" w:rsidRPr="00803AD9">
        <w:rPr>
          <w:color w:val="000000" w:themeColor="text1"/>
          <w:sz w:val="24"/>
          <w:szCs w:val="24"/>
        </w:rPr>
        <w:t xml:space="preserve"> aplicación del incremento para los predios en el proceso de </w:t>
      </w:r>
      <w:r w:rsidRPr="00803AD9">
        <w:rPr>
          <w:color w:val="000000" w:themeColor="text1"/>
          <w:sz w:val="24"/>
          <w:szCs w:val="24"/>
        </w:rPr>
        <w:t>conservación</w:t>
      </w:r>
      <w:r w:rsidR="00DD210A" w:rsidRPr="00803AD9">
        <w:rPr>
          <w:color w:val="000000" w:themeColor="text1"/>
          <w:sz w:val="24"/>
          <w:szCs w:val="24"/>
        </w:rPr>
        <w:t xml:space="preserve"> catastral</w:t>
      </w:r>
      <w:r w:rsidRPr="00803AD9">
        <w:rPr>
          <w:color w:val="000000" w:themeColor="text1"/>
          <w:sz w:val="24"/>
          <w:szCs w:val="24"/>
        </w:rPr>
        <w:t xml:space="preserve"> requerida </w:t>
      </w:r>
      <w:bookmarkStart w:id="2" w:name="_Hlk150449161"/>
      <w:r w:rsidRPr="00803AD9">
        <w:rPr>
          <w:color w:val="000000" w:themeColor="text1"/>
          <w:sz w:val="24"/>
          <w:szCs w:val="24"/>
        </w:rPr>
        <w:t>para la liquidación del impuesto predial</w:t>
      </w:r>
      <w:r w:rsidR="009B118E" w:rsidRPr="00803AD9">
        <w:rPr>
          <w:color w:val="000000" w:themeColor="text1"/>
          <w:sz w:val="24"/>
          <w:szCs w:val="24"/>
        </w:rPr>
        <w:t xml:space="preserve"> para la vigencia fiscal 2024. </w:t>
      </w:r>
      <w:bookmarkEnd w:id="2"/>
    </w:p>
    <w:p w14:paraId="3158A5A8" w14:textId="77777777" w:rsidR="00CD7572" w:rsidRPr="00803AD9" w:rsidRDefault="00CD7572" w:rsidP="00CD7572">
      <w:pPr>
        <w:jc w:val="both"/>
        <w:rPr>
          <w:color w:val="000000" w:themeColor="text1"/>
          <w:sz w:val="24"/>
          <w:szCs w:val="24"/>
        </w:rPr>
      </w:pPr>
    </w:p>
    <w:p w14:paraId="179B7F33" w14:textId="3C3132EE" w:rsidR="00250D91" w:rsidRDefault="00CD7572" w:rsidP="00CD7572">
      <w:pPr>
        <w:widowControl/>
        <w:adjustRightInd w:val="0"/>
        <w:jc w:val="both"/>
        <w:rPr>
          <w:rFonts w:eastAsiaTheme="minorHAnsi"/>
          <w:color w:val="000000" w:themeColor="text1"/>
          <w:sz w:val="24"/>
          <w:szCs w:val="24"/>
          <w:lang w:val="es-CO"/>
        </w:rPr>
      </w:pPr>
      <w:r w:rsidRPr="00803AD9">
        <w:rPr>
          <w:rFonts w:eastAsiaTheme="minorHAnsi"/>
          <w:color w:val="000000" w:themeColor="text1"/>
          <w:sz w:val="24"/>
          <w:szCs w:val="24"/>
          <w:lang w:val="es-CO"/>
        </w:rPr>
        <w:t>Que la UAECD gestiona la información física, jurídica y económica asociada a</w:t>
      </w:r>
      <w:r w:rsidR="007B52B6" w:rsidRPr="00803AD9">
        <w:rPr>
          <w:rFonts w:eastAsiaTheme="minorHAnsi"/>
          <w:color w:val="000000" w:themeColor="text1"/>
          <w:sz w:val="24"/>
          <w:szCs w:val="24"/>
          <w:lang w:val="es-CO"/>
        </w:rPr>
        <w:t>l proceso</w:t>
      </w:r>
      <w:r w:rsidRPr="00803AD9">
        <w:rPr>
          <w:rFonts w:eastAsiaTheme="minorHAnsi"/>
          <w:color w:val="000000" w:themeColor="text1"/>
          <w:sz w:val="24"/>
          <w:szCs w:val="24"/>
          <w:lang w:val="es-CO"/>
        </w:rPr>
        <w:t xml:space="preserve"> de conservación catastral de los predios existentes en el </w:t>
      </w:r>
      <w:r w:rsidR="001635D8">
        <w:rPr>
          <w:color w:val="000000" w:themeColor="text1"/>
          <w:sz w:val="24"/>
          <w:szCs w:val="24"/>
        </w:rPr>
        <w:t xml:space="preserve">Distrito Turístico y Cultural de Cartagena </w:t>
      </w:r>
      <w:r w:rsidRPr="00803AD9">
        <w:rPr>
          <w:rFonts w:eastAsiaTheme="minorHAnsi"/>
          <w:color w:val="000000" w:themeColor="text1"/>
          <w:sz w:val="24"/>
          <w:szCs w:val="24"/>
          <w:lang w:val="es-CO"/>
        </w:rPr>
        <w:t xml:space="preserve">y apoya dicha gestión realizando las modificaciones respectivas en la base de datos catastral del sistema de información misional denominado </w:t>
      </w:r>
      <w:proofErr w:type="spellStart"/>
      <w:r w:rsidRPr="00803AD9">
        <w:rPr>
          <w:rFonts w:eastAsiaTheme="minorHAnsi"/>
          <w:color w:val="000000" w:themeColor="text1"/>
          <w:sz w:val="24"/>
          <w:szCs w:val="24"/>
          <w:lang w:val="es-CO"/>
        </w:rPr>
        <w:t>Go</w:t>
      </w:r>
      <w:proofErr w:type="spellEnd"/>
      <w:r w:rsidRPr="00803AD9">
        <w:rPr>
          <w:rFonts w:eastAsiaTheme="minorHAnsi"/>
          <w:color w:val="000000" w:themeColor="text1"/>
          <w:sz w:val="24"/>
          <w:szCs w:val="24"/>
          <w:lang w:val="es-CO"/>
        </w:rPr>
        <w:t xml:space="preserve"> Catastral y Catastro en Línea (CEL).</w:t>
      </w:r>
    </w:p>
    <w:p w14:paraId="363436F3" w14:textId="77777777" w:rsidR="00CD7572" w:rsidRPr="00803AD9" w:rsidRDefault="00CD7572" w:rsidP="00CD7572">
      <w:pPr>
        <w:widowControl/>
        <w:adjustRightInd w:val="0"/>
        <w:rPr>
          <w:rFonts w:eastAsiaTheme="minorHAnsi"/>
          <w:color w:val="000000" w:themeColor="text1"/>
          <w:sz w:val="24"/>
          <w:szCs w:val="24"/>
          <w:lang w:val="es-CO"/>
        </w:rPr>
      </w:pPr>
    </w:p>
    <w:p w14:paraId="6F2586ED" w14:textId="467BB831" w:rsidR="00B72794" w:rsidRDefault="00250D91" w:rsidP="00250D91">
      <w:pPr>
        <w:pStyle w:val="Textoindependiente"/>
        <w:jc w:val="both"/>
        <w:rPr>
          <w:color w:val="000000" w:themeColor="text1"/>
        </w:rPr>
      </w:pPr>
      <w:r w:rsidRPr="00803AD9">
        <w:rPr>
          <w:color w:val="000000" w:themeColor="text1"/>
        </w:rPr>
        <w:t xml:space="preserve">Que como parte del proceso antes mencionado es necesario cerrar temporalmente los aplicativos </w:t>
      </w:r>
      <w:proofErr w:type="spellStart"/>
      <w:r w:rsidRPr="00803AD9">
        <w:rPr>
          <w:color w:val="000000" w:themeColor="text1"/>
        </w:rPr>
        <w:t>Go</w:t>
      </w:r>
      <w:proofErr w:type="spellEnd"/>
      <w:r w:rsidRPr="00803AD9">
        <w:rPr>
          <w:color w:val="000000" w:themeColor="text1"/>
        </w:rPr>
        <w:t xml:space="preserve"> Catastral y Catastro en Línea (CEL) para: i) Realizar ajustes y parametrizaciones de la nueva vigencia para la atención de las solicitudes de los usuarios en el aplicativo </w:t>
      </w:r>
      <w:proofErr w:type="spellStart"/>
      <w:r w:rsidRPr="00803AD9">
        <w:rPr>
          <w:color w:val="000000" w:themeColor="text1"/>
        </w:rPr>
        <w:t>Go</w:t>
      </w:r>
      <w:proofErr w:type="spellEnd"/>
      <w:r w:rsidRPr="00803AD9">
        <w:rPr>
          <w:color w:val="000000" w:themeColor="text1"/>
        </w:rPr>
        <w:t xml:space="preserve"> Catastral, </w:t>
      </w:r>
      <w:proofErr w:type="spellStart"/>
      <w:r w:rsidRPr="00803AD9">
        <w:rPr>
          <w:color w:val="000000" w:themeColor="text1"/>
        </w:rPr>
        <w:t>ii</w:t>
      </w:r>
      <w:proofErr w:type="spellEnd"/>
      <w:r w:rsidRPr="00803AD9">
        <w:rPr>
          <w:color w:val="000000" w:themeColor="text1"/>
        </w:rPr>
        <w:t>) consolidar la base catastral de datos en sus aspectos alfanumérica y geográfica, de tal manera que esta refleje el nuevo avalúo determinado por la aplicación del reajuste a los avalúos de conservación</w:t>
      </w:r>
      <w:r w:rsidR="00D33F2B" w:rsidRPr="00803AD9">
        <w:rPr>
          <w:color w:val="000000" w:themeColor="text1"/>
        </w:rPr>
        <w:t xml:space="preserve"> de conformidad con la normatividad vigente</w:t>
      </w:r>
      <w:r w:rsidRPr="00803AD9">
        <w:rPr>
          <w:color w:val="000000" w:themeColor="text1"/>
        </w:rPr>
        <w:t xml:space="preserve">. Todas estas actividades deberán ser adelantadas realizando las implementaciones, pruebas y verificaciones pertinentes requeridas sobre el software </w:t>
      </w:r>
      <w:proofErr w:type="spellStart"/>
      <w:r w:rsidRPr="00803AD9">
        <w:rPr>
          <w:color w:val="000000" w:themeColor="text1"/>
        </w:rPr>
        <w:t>Go</w:t>
      </w:r>
      <w:proofErr w:type="spellEnd"/>
      <w:r w:rsidRPr="00803AD9">
        <w:rPr>
          <w:color w:val="000000" w:themeColor="text1"/>
        </w:rPr>
        <w:t xml:space="preserve"> Catastral. </w:t>
      </w:r>
    </w:p>
    <w:p w14:paraId="13560094" w14:textId="6560D9E5" w:rsidR="001635D8" w:rsidRDefault="001635D8" w:rsidP="00250D91">
      <w:pPr>
        <w:pStyle w:val="Textoindependiente"/>
        <w:jc w:val="both"/>
        <w:rPr>
          <w:color w:val="000000" w:themeColor="text1"/>
        </w:rPr>
      </w:pPr>
    </w:p>
    <w:p w14:paraId="4F9425DE" w14:textId="017DA346" w:rsidR="001635D8" w:rsidRDefault="001635D8" w:rsidP="00250D91">
      <w:pPr>
        <w:pStyle w:val="Textoindependiente"/>
        <w:jc w:val="both"/>
        <w:rPr>
          <w:color w:val="000000" w:themeColor="text1"/>
        </w:rPr>
      </w:pPr>
    </w:p>
    <w:p w14:paraId="4BED5DF1" w14:textId="6C39B227" w:rsidR="001635D8" w:rsidRDefault="001635D8" w:rsidP="00250D91">
      <w:pPr>
        <w:pStyle w:val="Textoindependiente"/>
        <w:jc w:val="both"/>
        <w:rPr>
          <w:color w:val="000000" w:themeColor="text1"/>
        </w:rPr>
      </w:pPr>
    </w:p>
    <w:p w14:paraId="7C747208" w14:textId="77777777" w:rsidR="001635D8" w:rsidRPr="00803AD9" w:rsidRDefault="001635D8" w:rsidP="00250D91">
      <w:pPr>
        <w:pStyle w:val="Textoindependiente"/>
        <w:jc w:val="both"/>
        <w:rPr>
          <w:color w:val="000000" w:themeColor="text1"/>
        </w:rPr>
      </w:pPr>
    </w:p>
    <w:p w14:paraId="49422770" w14:textId="77777777" w:rsidR="00250D91" w:rsidRPr="00803AD9" w:rsidRDefault="00250D91" w:rsidP="00250D91">
      <w:pPr>
        <w:pStyle w:val="Textoindependiente"/>
        <w:jc w:val="both"/>
        <w:rPr>
          <w:color w:val="000000" w:themeColor="text1"/>
        </w:rPr>
      </w:pPr>
    </w:p>
    <w:p w14:paraId="254AFB85" w14:textId="42C3997A" w:rsidR="00250D91" w:rsidRPr="00803AD9" w:rsidRDefault="00250D91" w:rsidP="00250D91">
      <w:pPr>
        <w:pStyle w:val="Textoindependiente"/>
        <w:jc w:val="both"/>
        <w:rPr>
          <w:color w:val="000000" w:themeColor="text1"/>
        </w:rPr>
      </w:pPr>
      <w:r w:rsidRPr="00803AD9">
        <w:rPr>
          <w:color w:val="000000" w:themeColor="text1"/>
        </w:rPr>
        <w:t xml:space="preserve">Que como consecuencia de lo anterior es indispensable el cierre del aplicativo </w:t>
      </w:r>
      <w:proofErr w:type="spellStart"/>
      <w:r w:rsidRPr="00803AD9">
        <w:rPr>
          <w:color w:val="000000" w:themeColor="text1"/>
        </w:rPr>
        <w:t>Go</w:t>
      </w:r>
      <w:proofErr w:type="spellEnd"/>
      <w:r w:rsidRPr="00803AD9">
        <w:rPr>
          <w:color w:val="000000" w:themeColor="text1"/>
        </w:rPr>
        <w:t xml:space="preserve"> Catastral y Catastro en </w:t>
      </w:r>
      <w:proofErr w:type="spellStart"/>
      <w:r w:rsidRPr="00803AD9">
        <w:rPr>
          <w:color w:val="000000" w:themeColor="text1"/>
        </w:rPr>
        <w:t>Linea</w:t>
      </w:r>
      <w:proofErr w:type="spellEnd"/>
      <w:r w:rsidRPr="00803AD9">
        <w:rPr>
          <w:color w:val="000000" w:themeColor="text1"/>
        </w:rPr>
        <w:t>-CEL-, para ejecutar las actividades enunciadas, con la finalidad de que no existan modificaciones que afecten la consistencia de la información contenida en estos.</w:t>
      </w:r>
    </w:p>
    <w:p w14:paraId="75760DBD" w14:textId="77777777" w:rsidR="001E33D5" w:rsidRPr="00803AD9" w:rsidRDefault="001E33D5" w:rsidP="00250D91">
      <w:pPr>
        <w:pStyle w:val="Textoindependiente"/>
        <w:jc w:val="both"/>
        <w:rPr>
          <w:color w:val="000000" w:themeColor="text1"/>
        </w:rPr>
      </w:pPr>
    </w:p>
    <w:p w14:paraId="7E71681B" w14:textId="60B618FA" w:rsidR="009B118E" w:rsidRPr="00803AD9" w:rsidRDefault="009B118E" w:rsidP="009B118E">
      <w:pPr>
        <w:pStyle w:val="Textoindependiente"/>
        <w:jc w:val="both"/>
        <w:rPr>
          <w:color w:val="000000" w:themeColor="text1"/>
        </w:rPr>
      </w:pPr>
      <w:r w:rsidRPr="00803AD9">
        <w:rPr>
          <w:color w:val="000000" w:themeColor="text1"/>
        </w:rPr>
        <w:t xml:space="preserve">Que a través del aplicativo Catastro en Línea (CEL), al cual se accede por medio del sitio web de la entidad, </w:t>
      </w:r>
      <w:proofErr w:type="spellStart"/>
      <w:r w:rsidR="002452D8">
        <w:rPr>
          <w:color w:val="000000" w:themeColor="text1"/>
        </w:rPr>
        <w:t>xxxxxxxxxxxxxxxxxxxx</w:t>
      </w:r>
      <w:proofErr w:type="spellEnd"/>
      <w:r w:rsidRPr="00803AD9">
        <w:rPr>
          <w:color w:val="000000" w:themeColor="text1"/>
        </w:rPr>
        <w:t xml:space="preserve"> se ponen a disposición de los interesados la generación de certificaciones catastrales y de inscripción catastral y la solicitud de trámites catastrales, información que hace uso de la base de datos.</w:t>
      </w:r>
    </w:p>
    <w:p w14:paraId="3A679EAC" w14:textId="77777777" w:rsidR="00250D91" w:rsidRPr="00803AD9" w:rsidRDefault="00250D91" w:rsidP="00250D91">
      <w:pPr>
        <w:pStyle w:val="Textoindependiente"/>
        <w:jc w:val="both"/>
        <w:rPr>
          <w:color w:val="000000" w:themeColor="text1"/>
        </w:rPr>
      </w:pPr>
    </w:p>
    <w:p w14:paraId="6D19BB68" w14:textId="7266D030" w:rsidR="00250D91" w:rsidRPr="00803AD9" w:rsidRDefault="00D33F2B" w:rsidP="00250D91">
      <w:pPr>
        <w:pStyle w:val="Textoindependiente"/>
        <w:jc w:val="both"/>
        <w:rPr>
          <w:color w:val="000000" w:themeColor="text1"/>
        </w:rPr>
      </w:pPr>
      <w:r w:rsidRPr="00803AD9">
        <w:rPr>
          <w:color w:val="000000" w:themeColor="text1"/>
        </w:rPr>
        <w:t>Que,</w:t>
      </w:r>
      <w:r w:rsidR="00250D91" w:rsidRPr="00803AD9">
        <w:rPr>
          <w:color w:val="000000" w:themeColor="text1"/>
        </w:rPr>
        <w:t xml:space="preserve"> dado el cierre del sistema, la UAECD no puede permitir el registro de solicitudes y además habilitar su gestión para dar respuesta a los trámites en curso que dependen del mismo</w:t>
      </w:r>
      <w:r w:rsidR="00643F7A" w:rsidRPr="00803AD9">
        <w:rPr>
          <w:color w:val="000000" w:themeColor="text1"/>
        </w:rPr>
        <w:t>.</w:t>
      </w:r>
    </w:p>
    <w:p w14:paraId="0A160D41" w14:textId="77777777" w:rsidR="00250D91" w:rsidRPr="00803AD9" w:rsidRDefault="00250D91" w:rsidP="00250D91">
      <w:pPr>
        <w:pStyle w:val="Textoindependiente"/>
        <w:jc w:val="both"/>
        <w:rPr>
          <w:color w:val="000000" w:themeColor="text1"/>
        </w:rPr>
      </w:pPr>
    </w:p>
    <w:p w14:paraId="2A5DEC1A" w14:textId="4A1E7FC2" w:rsidR="00250D91" w:rsidRPr="00803AD9" w:rsidRDefault="00250D91" w:rsidP="00250D91">
      <w:pPr>
        <w:pStyle w:val="Textoindependiente"/>
        <w:jc w:val="both"/>
        <w:rPr>
          <w:color w:val="000000" w:themeColor="text1"/>
        </w:rPr>
      </w:pPr>
      <w:r w:rsidRPr="00803AD9">
        <w:rPr>
          <w:color w:val="000000" w:themeColor="text1"/>
        </w:rPr>
        <w:t xml:space="preserve">Que, como consecuencia de lo anterior, todos los términos de los trámites y solicitudes, incluyendo los recursos administrativos que dependen de la utilización de los aplicativos </w:t>
      </w:r>
      <w:proofErr w:type="spellStart"/>
      <w:r w:rsidRPr="00803AD9">
        <w:rPr>
          <w:color w:val="000000" w:themeColor="text1"/>
        </w:rPr>
        <w:t>Go</w:t>
      </w:r>
      <w:proofErr w:type="spellEnd"/>
      <w:r w:rsidRPr="00803AD9">
        <w:rPr>
          <w:color w:val="000000" w:themeColor="text1"/>
        </w:rPr>
        <w:t xml:space="preserve"> Catastral y Catastro en Línea (CEL), deben quedar suspendidos hasta la fecha de reapertura de este.</w:t>
      </w:r>
    </w:p>
    <w:p w14:paraId="2A9476A4" w14:textId="77777777" w:rsidR="00250D91" w:rsidRPr="00803AD9" w:rsidRDefault="00250D91" w:rsidP="00250D91">
      <w:pPr>
        <w:pStyle w:val="Textoindependiente"/>
        <w:jc w:val="both"/>
        <w:rPr>
          <w:color w:val="000000" w:themeColor="text1"/>
        </w:rPr>
      </w:pPr>
    </w:p>
    <w:p w14:paraId="2D188561" w14:textId="0F111E9C" w:rsidR="00867AB0" w:rsidRPr="00803AD9" w:rsidRDefault="00250D91" w:rsidP="00250D91">
      <w:pPr>
        <w:pStyle w:val="Textoindependiente"/>
        <w:jc w:val="both"/>
        <w:rPr>
          <w:color w:val="000000" w:themeColor="text1"/>
        </w:rPr>
      </w:pPr>
      <w:r w:rsidRPr="00803AD9">
        <w:rPr>
          <w:color w:val="000000" w:themeColor="text1"/>
        </w:rPr>
        <w:t>Que</w:t>
      </w:r>
      <w:r w:rsidR="00D33F2B" w:rsidRPr="00803AD9">
        <w:rPr>
          <w:color w:val="000000" w:themeColor="text1"/>
        </w:rPr>
        <w:t>,</w:t>
      </w:r>
      <w:r w:rsidRPr="00803AD9">
        <w:rPr>
          <w:color w:val="000000" w:themeColor="text1"/>
        </w:rPr>
        <w:t xml:space="preserve"> durante el periodo de cierre de los aplicativos </w:t>
      </w:r>
      <w:proofErr w:type="spellStart"/>
      <w:r w:rsidRPr="00803AD9">
        <w:rPr>
          <w:color w:val="000000" w:themeColor="text1"/>
        </w:rPr>
        <w:t>Go</w:t>
      </w:r>
      <w:proofErr w:type="spellEnd"/>
      <w:r w:rsidRPr="00803AD9">
        <w:rPr>
          <w:color w:val="000000" w:themeColor="text1"/>
        </w:rPr>
        <w:t xml:space="preserve"> Catastral y Catastro en Línea (CEL), no se podrá descargar las certificaciones catastrales </w:t>
      </w:r>
      <w:r w:rsidR="00D1778A" w:rsidRPr="00803AD9">
        <w:rPr>
          <w:color w:val="000000" w:themeColor="text1"/>
        </w:rPr>
        <w:t xml:space="preserve">y de inscripción catastral </w:t>
      </w:r>
      <w:r w:rsidRPr="00803AD9">
        <w:rPr>
          <w:color w:val="000000" w:themeColor="text1"/>
        </w:rPr>
        <w:t>por parte de los propietarios dado que depende directamente de estos aplicativos.</w:t>
      </w:r>
    </w:p>
    <w:p w14:paraId="3A365E63" w14:textId="77777777" w:rsidR="007B52B6" w:rsidRPr="00803AD9" w:rsidRDefault="007B52B6" w:rsidP="00250D91">
      <w:pPr>
        <w:pStyle w:val="Textoindependiente"/>
        <w:jc w:val="both"/>
        <w:rPr>
          <w:color w:val="000000" w:themeColor="text1"/>
        </w:rPr>
      </w:pPr>
    </w:p>
    <w:p w14:paraId="027709D8" w14:textId="609EBACE" w:rsidR="007B52B6" w:rsidRPr="00803AD9" w:rsidRDefault="007B52B6" w:rsidP="007B52B6">
      <w:pPr>
        <w:jc w:val="both"/>
        <w:rPr>
          <w:color w:val="000000" w:themeColor="text1"/>
          <w:sz w:val="24"/>
          <w:szCs w:val="24"/>
        </w:rPr>
      </w:pPr>
      <w:r w:rsidRPr="00803AD9">
        <w:rPr>
          <w:color w:val="000000" w:themeColor="text1"/>
          <w:sz w:val="24"/>
          <w:szCs w:val="24"/>
        </w:rPr>
        <w:t xml:space="preserve">Que el numeral 8 del artículo 8 de la Ley </w:t>
      </w:r>
      <w:proofErr w:type="spellStart"/>
      <w:r w:rsidRPr="00803AD9">
        <w:rPr>
          <w:color w:val="000000" w:themeColor="text1"/>
          <w:sz w:val="24"/>
          <w:szCs w:val="24"/>
        </w:rPr>
        <w:t>n.°</w:t>
      </w:r>
      <w:proofErr w:type="spellEnd"/>
      <w:r w:rsidRPr="00803AD9">
        <w:rPr>
          <w:color w:val="000000" w:themeColor="text1"/>
          <w:sz w:val="24"/>
          <w:szCs w:val="24"/>
        </w:rPr>
        <w:t xml:space="preserve"> 1437 de 2011, estableció que las autoridades tienen el deber de informar al público sobre los proyectos específicos de regulación, con la finalidad de recibir opiniones, sugerencias o propuestas alternativas, señalando un plazo para la presentación de observaciones para finalmente adoptar autónomamente la decisión que sirva al interés general</w:t>
      </w:r>
      <w:r w:rsidRPr="00803AD9">
        <w:rPr>
          <w:b/>
          <w:bCs/>
          <w:color w:val="000000" w:themeColor="text1"/>
          <w:sz w:val="24"/>
          <w:szCs w:val="24"/>
        </w:rPr>
        <w:t xml:space="preserve">. </w:t>
      </w:r>
      <w:r w:rsidRPr="00803AD9">
        <w:rPr>
          <w:color w:val="000000" w:themeColor="text1"/>
          <w:sz w:val="24"/>
          <w:szCs w:val="24"/>
        </w:rPr>
        <w:t xml:space="preserve">La Unidad Administrativa Especial de Catastro Distrital, publicó </w:t>
      </w:r>
      <w:r w:rsidRPr="00803AD9">
        <w:rPr>
          <w:color w:val="000000" w:themeColor="text1"/>
          <w:sz w:val="24"/>
          <w:szCs w:val="24"/>
          <w:highlight w:val="yellow"/>
        </w:rPr>
        <w:t xml:space="preserve">desde el </w:t>
      </w:r>
      <w:proofErr w:type="spellStart"/>
      <w:r w:rsidR="00121D6B" w:rsidRPr="00803AD9">
        <w:rPr>
          <w:color w:val="000000" w:themeColor="text1"/>
          <w:sz w:val="24"/>
          <w:szCs w:val="24"/>
          <w:highlight w:val="yellow"/>
        </w:rPr>
        <w:t>xx</w:t>
      </w:r>
      <w:proofErr w:type="spellEnd"/>
      <w:r w:rsidRPr="00803AD9">
        <w:rPr>
          <w:color w:val="000000" w:themeColor="text1"/>
          <w:sz w:val="24"/>
          <w:szCs w:val="24"/>
          <w:highlight w:val="yellow"/>
        </w:rPr>
        <w:t xml:space="preserve"> hasta el </w:t>
      </w:r>
      <w:proofErr w:type="spellStart"/>
      <w:r w:rsidR="00121D6B" w:rsidRPr="00803AD9">
        <w:rPr>
          <w:color w:val="000000" w:themeColor="text1"/>
          <w:sz w:val="24"/>
          <w:szCs w:val="24"/>
          <w:highlight w:val="yellow"/>
        </w:rPr>
        <w:t>xx</w:t>
      </w:r>
      <w:proofErr w:type="spellEnd"/>
      <w:r w:rsidRPr="00803AD9">
        <w:rPr>
          <w:color w:val="000000" w:themeColor="text1"/>
          <w:sz w:val="24"/>
          <w:szCs w:val="24"/>
          <w:highlight w:val="yellow"/>
        </w:rPr>
        <w:t xml:space="preserve"> de </w:t>
      </w:r>
      <w:r w:rsidR="002452D8">
        <w:rPr>
          <w:color w:val="000000" w:themeColor="text1"/>
          <w:sz w:val="24"/>
          <w:szCs w:val="24"/>
          <w:highlight w:val="yellow"/>
        </w:rPr>
        <w:t>diciembre</w:t>
      </w:r>
      <w:r w:rsidRPr="00803AD9">
        <w:rPr>
          <w:color w:val="000000" w:themeColor="text1"/>
          <w:sz w:val="24"/>
          <w:szCs w:val="24"/>
          <w:highlight w:val="yellow"/>
        </w:rPr>
        <w:t xml:space="preserve"> de 2023</w:t>
      </w:r>
      <w:r w:rsidRPr="00803AD9">
        <w:rPr>
          <w:color w:val="000000" w:themeColor="text1"/>
          <w:sz w:val="24"/>
          <w:szCs w:val="24"/>
        </w:rPr>
        <w:t xml:space="preserve"> en la página </w:t>
      </w:r>
      <w:bookmarkStart w:id="3" w:name="_Hlk122966663"/>
      <w:r w:rsidRPr="00803AD9">
        <w:rPr>
          <w:color w:val="000000" w:themeColor="text1"/>
          <w:sz w:val="24"/>
          <w:szCs w:val="24"/>
        </w:rPr>
        <w:t xml:space="preserve">web </w:t>
      </w:r>
      <w:proofErr w:type="spellStart"/>
      <w:r w:rsidRPr="00803AD9">
        <w:rPr>
          <w:color w:val="000000" w:themeColor="text1"/>
          <w:sz w:val="24"/>
          <w:szCs w:val="24"/>
        </w:rPr>
        <w:t>Go</w:t>
      </w:r>
      <w:proofErr w:type="spellEnd"/>
      <w:r w:rsidRPr="00803AD9">
        <w:rPr>
          <w:color w:val="000000" w:themeColor="text1"/>
          <w:sz w:val="24"/>
          <w:szCs w:val="24"/>
        </w:rPr>
        <w:t xml:space="preserve"> catastral de</w:t>
      </w:r>
      <w:r w:rsidR="00FC4C2F">
        <w:rPr>
          <w:color w:val="000000" w:themeColor="text1"/>
          <w:sz w:val="24"/>
          <w:szCs w:val="24"/>
        </w:rPr>
        <w:t xml:space="preserve">l Distrito Turístico y Cultural de Cartagena de Indias </w:t>
      </w:r>
      <w:r w:rsidRPr="00803AD9">
        <w:rPr>
          <w:color w:val="000000" w:themeColor="text1"/>
          <w:sz w:val="24"/>
          <w:szCs w:val="24"/>
        </w:rPr>
        <w:t xml:space="preserve">sin que se haya recibido comentarios por parte de los ciudadanos. </w:t>
      </w:r>
      <w:bookmarkEnd w:id="3"/>
      <w:r w:rsidRPr="00803AD9">
        <w:rPr>
          <w:color w:val="000000" w:themeColor="text1"/>
          <w:sz w:val="24"/>
          <w:szCs w:val="24"/>
        </w:rPr>
        <w:t xml:space="preserve"> </w:t>
      </w:r>
    </w:p>
    <w:p w14:paraId="06C659FE" w14:textId="77777777" w:rsidR="007B52B6" w:rsidRPr="00803AD9" w:rsidRDefault="007B52B6" w:rsidP="00250D91">
      <w:pPr>
        <w:pStyle w:val="Textoindependiente"/>
        <w:jc w:val="both"/>
        <w:rPr>
          <w:color w:val="000000" w:themeColor="text1"/>
        </w:rPr>
      </w:pPr>
    </w:p>
    <w:p w14:paraId="326F33A2" w14:textId="77777777" w:rsidR="000E298B" w:rsidRPr="00803AD9" w:rsidRDefault="000E298B" w:rsidP="00867AB0">
      <w:pPr>
        <w:jc w:val="both"/>
        <w:rPr>
          <w:color w:val="000000" w:themeColor="text1"/>
          <w:sz w:val="24"/>
          <w:szCs w:val="24"/>
          <w:lang w:val="es-CO"/>
        </w:rPr>
      </w:pPr>
    </w:p>
    <w:p w14:paraId="5F760F92" w14:textId="77777777" w:rsidR="00867AB0" w:rsidRPr="00803AD9" w:rsidRDefault="00867AB0" w:rsidP="00867AB0">
      <w:pPr>
        <w:jc w:val="both"/>
        <w:rPr>
          <w:color w:val="000000" w:themeColor="text1"/>
          <w:sz w:val="24"/>
          <w:szCs w:val="24"/>
        </w:rPr>
      </w:pPr>
      <w:r w:rsidRPr="00803AD9">
        <w:rPr>
          <w:color w:val="000000" w:themeColor="text1"/>
          <w:sz w:val="24"/>
          <w:szCs w:val="24"/>
        </w:rPr>
        <w:t>Que, en mérito de lo expuesto,</w:t>
      </w:r>
    </w:p>
    <w:p w14:paraId="4F404A33" w14:textId="77777777" w:rsidR="00867AB0" w:rsidRPr="00803AD9" w:rsidRDefault="00867AB0" w:rsidP="00867AB0">
      <w:pPr>
        <w:jc w:val="both"/>
        <w:rPr>
          <w:color w:val="000000" w:themeColor="text1"/>
          <w:sz w:val="24"/>
          <w:szCs w:val="24"/>
        </w:rPr>
      </w:pPr>
    </w:p>
    <w:p w14:paraId="706B7186" w14:textId="77777777" w:rsidR="00867AB0" w:rsidRPr="00803AD9" w:rsidRDefault="00867AB0" w:rsidP="00867AB0">
      <w:pPr>
        <w:jc w:val="center"/>
        <w:rPr>
          <w:b/>
          <w:bCs/>
          <w:color w:val="000000" w:themeColor="text1"/>
          <w:sz w:val="24"/>
          <w:szCs w:val="24"/>
        </w:rPr>
      </w:pPr>
      <w:r w:rsidRPr="00803AD9">
        <w:rPr>
          <w:b/>
          <w:bCs/>
          <w:color w:val="000000" w:themeColor="text1"/>
          <w:sz w:val="24"/>
          <w:szCs w:val="24"/>
        </w:rPr>
        <w:t>RESUELVE:</w:t>
      </w:r>
    </w:p>
    <w:p w14:paraId="64EF0A34" w14:textId="77777777" w:rsidR="00867AB0" w:rsidRPr="00803AD9" w:rsidRDefault="00867AB0" w:rsidP="00867AB0">
      <w:pPr>
        <w:jc w:val="both"/>
        <w:rPr>
          <w:color w:val="000000" w:themeColor="text1"/>
          <w:sz w:val="24"/>
          <w:szCs w:val="24"/>
        </w:rPr>
      </w:pPr>
    </w:p>
    <w:p w14:paraId="3F711ED5" w14:textId="6791E28B" w:rsidR="008230D5" w:rsidRPr="00803AD9" w:rsidRDefault="00867AB0" w:rsidP="008230D5">
      <w:pPr>
        <w:shd w:val="clear" w:color="auto" w:fill="FFFFFF"/>
        <w:jc w:val="both"/>
        <w:rPr>
          <w:color w:val="000000" w:themeColor="text1"/>
          <w:sz w:val="24"/>
          <w:szCs w:val="24"/>
          <w:lang w:eastAsia="es-CO"/>
        </w:rPr>
      </w:pPr>
      <w:r w:rsidRPr="00803AD9">
        <w:rPr>
          <w:b/>
          <w:bCs/>
          <w:color w:val="000000" w:themeColor="text1"/>
          <w:sz w:val="24"/>
          <w:szCs w:val="24"/>
        </w:rPr>
        <w:t xml:space="preserve">ARTÍCULO 1. </w:t>
      </w:r>
      <w:r w:rsidR="00D33F2B" w:rsidRPr="00803AD9">
        <w:rPr>
          <w:rFonts w:eastAsiaTheme="minorHAnsi"/>
          <w:b/>
          <w:bCs/>
          <w:color w:val="000000" w:themeColor="text1"/>
          <w:sz w:val="24"/>
          <w:szCs w:val="24"/>
          <w:lang w:val="es-CO"/>
        </w:rPr>
        <w:t xml:space="preserve">ORDENAR </w:t>
      </w:r>
      <w:r w:rsidR="00D33F2B" w:rsidRPr="00803AD9">
        <w:rPr>
          <w:color w:val="000000" w:themeColor="text1"/>
          <w:sz w:val="24"/>
          <w:szCs w:val="24"/>
        </w:rPr>
        <w:t xml:space="preserve">el cierre de los aplicativos </w:t>
      </w:r>
      <w:proofErr w:type="spellStart"/>
      <w:r w:rsidR="00D33F2B" w:rsidRPr="00803AD9">
        <w:rPr>
          <w:color w:val="000000" w:themeColor="text1"/>
          <w:sz w:val="24"/>
          <w:szCs w:val="24"/>
        </w:rPr>
        <w:t>Go</w:t>
      </w:r>
      <w:proofErr w:type="spellEnd"/>
      <w:r w:rsidR="00D33F2B" w:rsidRPr="00803AD9">
        <w:rPr>
          <w:color w:val="000000" w:themeColor="text1"/>
          <w:sz w:val="24"/>
          <w:szCs w:val="24"/>
        </w:rPr>
        <w:t xml:space="preserve"> Catastral y de Catastro en Línea (CEL) y de manera presencial en la ventanilla de atención al </w:t>
      </w:r>
      <w:r w:rsidR="00FA7DC8" w:rsidRPr="00803AD9">
        <w:rPr>
          <w:color w:val="000000" w:themeColor="text1"/>
          <w:sz w:val="24"/>
          <w:szCs w:val="24"/>
        </w:rPr>
        <w:t>ciudadano la</w:t>
      </w:r>
      <w:r w:rsidR="00D33F2B" w:rsidRPr="00803AD9">
        <w:rPr>
          <w:color w:val="000000" w:themeColor="text1"/>
          <w:sz w:val="24"/>
          <w:szCs w:val="24"/>
        </w:rPr>
        <w:t xml:space="preserve"> radicación de trámites catastrales desde el </w:t>
      </w:r>
      <w:r w:rsidR="007B52B6" w:rsidRPr="00803AD9">
        <w:rPr>
          <w:color w:val="000000" w:themeColor="text1"/>
          <w:sz w:val="24"/>
          <w:szCs w:val="24"/>
        </w:rPr>
        <w:t>quince (15)</w:t>
      </w:r>
      <w:r w:rsidR="00D33F2B" w:rsidRPr="00803AD9">
        <w:rPr>
          <w:color w:val="000000" w:themeColor="text1"/>
          <w:sz w:val="24"/>
          <w:szCs w:val="24"/>
        </w:rPr>
        <w:t xml:space="preserve"> de diciembre de 202</w:t>
      </w:r>
      <w:r w:rsidR="007B52B6" w:rsidRPr="00803AD9">
        <w:rPr>
          <w:color w:val="000000" w:themeColor="text1"/>
          <w:sz w:val="24"/>
          <w:szCs w:val="24"/>
        </w:rPr>
        <w:t>3</w:t>
      </w:r>
      <w:r w:rsidR="008230D5" w:rsidRPr="00803AD9">
        <w:rPr>
          <w:color w:val="000000" w:themeColor="text1"/>
          <w:sz w:val="24"/>
          <w:szCs w:val="24"/>
        </w:rPr>
        <w:t xml:space="preserve"> </w:t>
      </w:r>
      <w:r w:rsidR="008230D5" w:rsidRPr="00803AD9">
        <w:rPr>
          <w:color w:val="000000" w:themeColor="text1"/>
          <w:sz w:val="24"/>
          <w:szCs w:val="24"/>
          <w:lang w:eastAsia="es-CO"/>
        </w:rPr>
        <w:t xml:space="preserve">hasta el </w:t>
      </w:r>
      <w:r w:rsidR="00A841BD">
        <w:rPr>
          <w:color w:val="000000" w:themeColor="text1"/>
          <w:sz w:val="24"/>
          <w:szCs w:val="24"/>
          <w:lang w:eastAsia="es-CO"/>
        </w:rPr>
        <w:t>nueve</w:t>
      </w:r>
      <w:r w:rsidR="008230D5" w:rsidRPr="00803AD9">
        <w:rPr>
          <w:color w:val="000000" w:themeColor="text1"/>
          <w:sz w:val="24"/>
          <w:szCs w:val="24"/>
          <w:lang w:eastAsia="es-CO"/>
        </w:rPr>
        <w:t xml:space="preserve"> (</w:t>
      </w:r>
      <w:r w:rsidR="00A841BD">
        <w:rPr>
          <w:color w:val="000000" w:themeColor="text1"/>
          <w:sz w:val="24"/>
          <w:szCs w:val="24"/>
          <w:lang w:eastAsia="es-CO"/>
        </w:rPr>
        <w:t>9</w:t>
      </w:r>
      <w:r w:rsidR="008230D5" w:rsidRPr="00803AD9">
        <w:rPr>
          <w:color w:val="000000" w:themeColor="text1"/>
          <w:sz w:val="24"/>
          <w:szCs w:val="24"/>
          <w:lang w:eastAsia="es-CO"/>
        </w:rPr>
        <w:t xml:space="preserve">) de enero de 2024. </w:t>
      </w:r>
    </w:p>
    <w:p w14:paraId="71B8AAC4" w14:textId="77777777" w:rsidR="008230D5" w:rsidRPr="00803AD9" w:rsidRDefault="008230D5" w:rsidP="008230D5">
      <w:pPr>
        <w:shd w:val="clear" w:color="auto" w:fill="FFFFFF"/>
        <w:jc w:val="both"/>
        <w:rPr>
          <w:color w:val="000000" w:themeColor="text1"/>
          <w:sz w:val="24"/>
          <w:szCs w:val="24"/>
          <w:lang w:eastAsia="es-CO"/>
        </w:rPr>
      </w:pPr>
    </w:p>
    <w:p w14:paraId="547C15CA" w14:textId="0366361A" w:rsidR="008230D5" w:rsidRDefault="008230D5" w:rsidP="008230D5">
      <w:pPr>
        <w:shd w:val="clear" w:color="auto" w:fill="FFFFFF"/>
        <w:jc w:val="both"/>
        <w:rPr>
          <w:color w:val="000000" w:themeColor="text1"/>
          <w:sz w:val="24"/>
          <w:szCs w:val="24"/>
          <w:lang w:eastAsia="es-CO"/>
        </w:rPr>
      </w:pPr>
      <w:r w:rsidRPr="00803AD9">
        <w:rPr>
          <w:color w:val="000000" w:themeColor="text1"/>
          <w:sz w:val="24"/>
          <w:szCs w:val="24"/>
          <w:lang w:eastAsia="es-CO"/>
        </w:rPr>
        <w:t xml:space="preserve">Todas las actividades tendientes a resolver los trámites catastrales iniciaran el </w:t>
      </w:r>
      <w:r w:rsidR="00A841BD">
        <w:rPr>
          <w:color w:val="000000" w:themeColor="text1"/>
          <w:sz w:val="24"/>
          <w:szCs w:val="24"/>
          <w:lang w:eastAsia="es-CO"/>
        </w:rPr>
        <w:t>diez</w:t>
      </w:r>
      <w:r w:rsidR="005768C9" w:rsidRPr="00803AD9">
        <w:rPr>
          <w:color w:val="000000" w:themeColor="text1"/>
          <w:sz w:val="24"/>
          <w:szCs w:val="24"/>
          <w:lang w:eastAsia="es-CO"/>
        </w:rPr>
        <w:t xml:space="preserve"> (</w:t>
      </w:r>
      <w:r w:rsidR="00A841BD">
        <w:rPr>
          <w:color w:val="000000" w:themeColor="text1"/>
          <w:sz w:val="24"/>
          <w:szCs w:val="24"/>
          <w:lang w:eastAsia="es-CO"/>
        </w:rPr>
        <w:t>10</w:t>
      </w:r>
      <w:r w:rsidR="005768C9" w:rsidRPr="00803AD9">
        <w:rPr>
          <w:color w:val="000000" w:themeColor="text1"/>
          <w:sz w:val="24"/>
          <w:szCs w:val="24"/>
          <w:lang w:eastAsia="es-CO"/>
        </w:rPr>
        <w:t>) de enero de 2024.</w:t>
      </w:r>
      <w:r w:rsidRPr="00803AD9">
        <w:rPr>
          <w:color w:val="000000" w:themeColor="text1"/>
          <w:sz w:val="24"/>
          <w:szCs w:val="24"/>
          <w:lang w:eastAsia="es-CO"/>
        </w:rPr>
        <w:t xml:space="preserve"> </w:t>
      </w:r>
    </w:p>
    <w:p w14:paraId="03363FD7" w14:textId="77777777" w:rsidR="002452D8" w:rsidRPr="00803AD9" w:rsidRDefault="002452D8" w:rsidP="008230D5">
      <w:pPr>
        <w:shd w:val="clear" w:color="auto" w:fill="FFFFFF"/>
        <w:jc w:val="both"/>
        <w:rPr>
          <w:color w:val="000000" w:themeColor="text1"/>
          <w:sz w:val="24"/>
          <w:szCs w:val="24"/>
          <w:lang w:eastAsia="es-CO"/>
        </w:rPr>
      </w:pPr>
    </w:p>
    <w:p w14:paraId="0401807F" w14:textId="59902194" w:rsidR="00867AB0" w:rsidRPr="00803AD9" w:rsidRDefault="008230D5" w:rsidP="00867AB0">
      <w:pPr>
        <w:shd w:val="clear" w:color="auto" w:fill="FFFFFF"/>
        <w:jc w:val="both"/>
        <w:rPr>
          <w:color w:val="000000" w:themeColor="text1"/>
          <w:sz w:val="24"/>
          <w:szCs w:val="24"/>
          <w:lang w:eastAsia="es-CO"/>
        </w:rPr>
      </w:pPr>
      <w:r w:rsidRPr="00803AD9">
        <w:rPr>
          <w:color w:val="000000" w:themeColor="text1"/>
          <w:sz w:val="24"/>
          <w:szCs w:val="24"/>
          <w:lang w:eastAsia="es-CO"/>
        </w:rPr>
        <w:t> </w:t>
      </w:r>
    </w:p>
    <w:p w14:paraId="48AB2F66" w14:textId="3D2243ED" w:rsidR="00867AB0" w:rsidRPr="00803AD9" w:rsidRDefault="00867AB0" w:rsidP="00D33F2B">
      <w:pPr>
        <w:widowControl/>
        <w:adjustRightInd w:val="0"/>
        <w:jc w:val="both"/>
        <w:rPr>
          <w:rFonts w:eastAsiaTheme="minorHAnsi"/>
          <w:color w:val="000000" w:themeColor="text1"/>
          <w:sz w:val="24"/>
          <w:szCs w:val="24"/>
          <w:lang w:val="es-CO"/>
        </w:rPr>
      </w:pPr>
      <w:r w:rsidRPr="00803AD9">
        <w:rPr>
          <w:b/>
          <w:bCs/>
          <w:color w:val="000000" w:themeColor="text1"/>
          <w:sz w:val="24"/>
          <w:szCs w:val="24"/>
        </w:rPr>
        <w:t xml:space="preserve">ARTÍCULO 2. </w:t>
      </w:r>
      <w:r w:rsidR="00D33F2B" w:rsidRPr="00803AD9">
        <w:rPr>
          <w:rFonts w:eastAsiaTheme="minorHAnsi"/>
          <w:b/>
          <w:bCs/>
          <w:color w:val="000000" w:themeColor="text1"/>
          <w:sz w:val="24"/>
          <w:szCs w:val="24"/>
          <w:lang w:val="es-CO"/>
        </w:rPr>
        <w:t xml:space="preserve">SUSPENDER </w:t>
      </w:r>
      <w:r w:rsidR="007B52B6" w:rsidRPr="00803AD9">
        <w:rPr>
          <w:rFonts w:eastAsiaTheme="minorHAnsi"/>
          <w:color w:val="000000" w:themeColor="text1"/>
          <w:sz w:val="24"/>
          <w:szCs w:val="24"/>
          <w:lang w:val="es-CO"/>
        </w:rPr>
        <w:t>desde el</w:t>
      </w:r>
      <w:r w:rsidR="00D33F2B" w:rsidRPr="00803AD9">
        <w:rPr>
          <w:rFonts w:eastAsiaTheme="minorHAnsi"/>
          <w:color w:val="000000" w:themeColor="text1"/>
          <w:sz w:val="24"/>
          <w:szCs w:val="24"/>
          <w:lang w:val="es-CO"/>
        </w:rPr>
        <w:t xml:space="preserve"> período establecido en el artículo precedente, los términos para adelantar, responder y dar solución, según corresponda, a los trámites y solicitudes, incluyendo los recursos administrativos que dependen de los aplicativos </w:t>
      </w:r>
      <w:proofErr w:type="spellStart"/>
      <w:r w:rsidR="00D33F2B" w:rsidRPr="00803AD9">
        <w:rPr>
          <w:rFonts w:eastAsiaTheme="minorHAnsi"/>
          <w:color w:val="000000" w:themeColor="text1"/>
          <w:sz w:val="24"/>
          <w:szCs w:val="24"/>
          <w:lang w:val="es-CO"/>
        </w:rPr>
        <w:t>Go</w:t>
      </w:r>
      <w:proofErr w:type="spellEnd"/>
      <w:r w:rsidR="00D33F2B" w:rsidRPr="00803AD9">
        <w:rPr>
          <w:rFonts w:eastAsiaTheme="minorHAnsi"/>
          <w:color w:val="000000" w:themeColor="text1"/>
          <w:sz w:val="24"/>
          <w:szCs w:val="24"/>
          <w:lang w:val="es-CO"/>
        </w:rPr>
        <w:t xml:space="preserve"> Catastral y Catastro en Línea (CEL), por las razones expuestas en la parte motiva de la presente resolución.</w:t>
      </w:r>
    </w:p>
    <w:p w14:paraId="6A463CC9" w14:textId="77777777" w:rsidR="00867AB0" w:rsidRPr="00803AD9" w:rsidRDefault="00867AB0" w:rsidP="00867AB0">
      <w:pPr>
        <w:jc w:val="both"/>
        <w:rPr>
          <w:color w:val="000000" w:themeColor="text1"/>
          <w:sz w:val="24"/>
          <w:szCs w:val="24"/>
        </w:rPr>
      </w:pPr>
    </w:p>
    <w:p w14:paraId="7542E674" w14:textId="35602AFA" w:rsidR="00D33F2B" w:rsidRPr="00803AD9" w:rsidRDefault="00867AB0" w:rsidP="00867AB0">
      <w:pPr>
        <w:jc w:val="both"/>
        <w:rPr>
          <w:color w:val="000000" w:themeColor="text1"/>
          <w:sz w:val="24"/>
          <w:szCs w:val="24"/>
        </w:rPr>
      </w:pPr>
      <w:r w:rsidRPr="00803AD9">
        <w:rPr>
          <w:b/>
          <w:bCs/>
          <w:color w:val="000000" w:themeColor="text1"/>
          <w:sz w:val="24"/>
          <w:szCs w:val="24"/>
        </w:rPr>
        <w:t>PARÁGRAFO</w:t>
      </w:r>
      <w:r w:rsidR="00D33F2B" w:rsidRPr="00803AD9">
        <w:rPr>
          <w:b/>
          <w:bCs/>
          <w:color w:val="000000" w:themeColor="text1"/>
          <w:sz w:val="24"/>
          <w:szCs w:val="24"/>
        </w:rPr>
        <w:t xml:space="preserve"> No. 1</w:t>
      </w:r>
      <w:r w:rsidRPr="00803AD9">
        <w:rPr>
          <w:b/>
          <w:bCs/>
          <w:color w:val="000000" w:themeColor="text1"/>
          <w:sz w:val="24"/>
          <w:szCs w:val="24"/>
        </w:rPr>
        <w:t>.</w:t>
      </w:r>
      <w:r w:rsidRPr="00803AD9">
        <w:rPr>
          <w:color w:val="000000" w:themeColor="text1"/>
          <w:sz w:val="24"/>
          <w:szCs w:val="24"/>
        </w:rPr>
        <w:t xml:space="preserve"> La recepción de solicitudes mediante todos los medios de atención que dependan del sistema y de sus aplicativos, se realizará hasta las 13:00 horas del </w:t>
      </w:r>
      <w:r w:rsidR="007B52B6" w:rsidRPr="00803AD9">
        <w:rPr>
          <w:color w:val="000000" w:themeColor="text1"/>
          <w:sz w:val="24"/>
          <w:szCs w:val="24"/>
        </w:rPr>
        <w:t xml:space="preserve">quince (15) </w:t>
      </w:r>
      <w:r w:rsidRPr="00803AD9">
        <w:rPr>
          <w:color w:val="000000" w:themeColor="text1"/>
          <w:sz w:val="24"/>
          <w:szCs w:val="24"/>
        </w:rPr>
        <w:t xml:space="preserve">de </w:t>
      </w:r>
      <w:r w:rsidR="00D33F2B" w:rsidRPr="00803AD9">
        <w:rPr>
          <w:color w:val="000000" w:themeColor="text1"/>
          <w:sz w:val="24"/>
          <w:szCs w:val="24"/>
        </w:rPr>
        <w:t xml:space="preserve">diciembre </w:t>
      </w:r>
      <w:r w:rsidRPr="00803AD9">
        <w:rPr>
          <w:color w:val="000000" w:themeColor="text1"/>
          <w:sz w:val="24"/>
          <w:szCs w:val="24"/>
        </w:rPr>
        <w:t>de 202</w:t>
      </w:r>
      <w:r w:rsidR="007B52B6" w:rsidRPr="00803AD9">
        <w:rPr>
          <w:color w:val="000000" w:themeColor="text1"/>
          <w:sz w:val="24"/>
          <w:szCs w:val="24"/>
        </w:rPr>
        <w:t>3</w:t>
      </w:r>
      <w:r w:rsidRPr="00803AD9">
        <w:rPr>
          <w:color w:val="000000" w:themeColor="text1"/>
          <w:sz w:val="24"/>
          <w:szCs w:val="24"/>
        </w:rPr>
        <w:t xml:space="preserve"> y serán atendidos por los medios presenciales todos los ciudadanos que se encuentren con turno </w:t>
      </w:r>
      <w:r w:rsidR="00D33F2B" w:rsidRPr="00803AD9">
        <w:rPr>
          <w:color w:val="000000" w:themeColor="text1"/>
          <w:sz w:val="24"/>
          <w:szCs w:val="24"/>
        </w:rPr>
        <w:t xml:space="preserve">agendado </w:t>
      </w:r>
      <w:r w:rsidRPr="00803AD9">
        <w:rPr>
          <w:color w:val="000000" w:themeColor="text1"/>
          <w:sz w:val="24"/>
          <w:szCs w:val="24"/>
        </w:rPr>
        <w:t xml:space="preserve">o en espera de atenderse hasta las 13:00 horas </w:t>
      </w:r>
      <w:r w:rsidR="00D33F2B" w:rsidRPr="00803AD9">
        <w:rPr>
          <w:color w:val="000000" w:themeColor="text1"/>
          <w:sz w:val="24"/>
          <w:szCs w:val="24"/>
        </w:rPr>
        <w:t xml:space="preserve">del </w:t>
      </w:r>
      <w:r w:rsidR="007B52B6" w:rsidRPr="00803AD9">
        <w:rPr>
          <w:color w:val="000000" w:themeColor="text1"/>
          <w:sz w:val="24"/>
          <w:szCs w:val="24"/>
        </w:rPr>
        <w:t xml:space="preserve">quince (15) </w:t>
      </w:r>
      <w:r w:rsidR="00D33F2B" w:rsidRPr="00803AD9">
        <w:rPr>
          <w:color w:val="000000" w:themeColor="text1"/>
          <w:sz w:val="24"/>
          <w:szCs w:val="24"/>
        </w:rPr>
        <w:t>de diciembre de 202</w:t>
      </w:r>
      <w:r w:rsidR="007B52B6" w:rsidRPr="00803AD9">
        <w:rPr>
          <w:color w:val="000000" w:themeColor="text1"/>
          <w:sz w:val="24"/>
          <w:szCs w:val="24"/>
        </w:rPr>
        <w:t xml:space="preserve">3. </w:t>
      </w:r>
    </w:p>
    <w:p w14:paraId="6CE7FC9D" w14:textId="77777777" w:rsidR="00867AB0" w:rsidRPr="00803AD9" w:rsidRDefault="00867AB0" w:rsidP="00867AB0">
      <w:pPr>
        <w:jc w:val="both"/>
        <w:rPr>
          <w:color w:val="000000" w:themeColor="text1"/>
          <w:sz w:val="24"/>
          <w:szCs w:val="24"/>
        </w:rPr>
      </w:pPr>
    </w:p>
    <w:p w14:paraId="549242E2" w14:textId="21DBAEFA" w:rsidR="00D33F2B" w:rsidRPr="00803AD9" w:rsidRDefault="00D33F2B" w:rsidP="00D33F2B">
      <w:pPr>
        <w:widowControl/>
        <w:adjustRightInd w:val="0"/>
        <w:jc w:val="both"/>
        <w:rPr>
          <w:rFonts w:eastAsiaTheme="minorHAnsi"/>
          <w:color w:val="000000" w:themeColor="text1"/>
          <w:sz w:val="24"/>
          <w:szCs w:val="24"/>
          <w:lang w:val="es-CO"/>
        </w:rPr>
      </w:pPr>
      <w:r w:rsidRPr="00803AD9">
        <w:rPr>
          <w:b/>
          <w:bCs/>
          <w:color w:val="000000" w:themeColor="text1"/>
          <w:sz w:val="24"/>
          <w:szCs w:val="24"/>
        </w:rPr>
        <w:t>PARÁGRAFO No. 2.</w:t>
      </w:r>
      <w:r w:rsidRPr="00803AD9">
        <w:rPr>
          <w:color w:val="000000" w:themeColor="text1"/>
          <w:sz w:val="24"/>
          <w:szCs w:val="24"/>
        </w:rPr>
        <w:t xml:space="preserve"> </w:t>
      </w:r>
      <w:r w:rsidRPr="00803AD9">
        <w:rPr>
          <w:rFonts w:eastAsiaTheme="minorHAnsi"/>
          <w:color w:val="000000" w:themeColor="text1"/>
          <w:sz w:val="24"/>
          <w:szCs w:val="24"/>
          <w:lang w:val="es-CO"/>
        </w:rPr>
        <w:t>Toda petición, queja y/o reclamo correspondiente a la gestión catastral del</w:t>
      </w:r>
      <w:r w:rsidR="00FC4C2F">
        <w:rPr>
          <w:rFonts w:eastAsiaTheme="minorHAnsi"/>
          <w:color w:val="000000" w:themeColor="text1"/>
          <w:sz w:val="24"/>
          <w:szCs w:val="24"/>
          <w:lang w:val="es-CO"/>
        </w:rPr>
        <w:t xml:space="preserve"> Distrito Turístico y Cultural de Cartagena de </w:t>
      </w:r>
      <w:proofErr w:type="gramStart"/>
      <w:r w:rsidR="00FC4C2F">
        <w:rPr>
          <w:rFonts w:eastAsiaTheme="minorHAnsi"/>
          <w:color w:val="000000" w:themeColor="text1"/>
          <w:sz w:val="24"/>
          <w:szCs w:val="24"/>
          <w:lang w:val="es-CO"/>
        </w:rPr>
        <w:t xml:space="preserve">Indias </w:t>
      </w:r>
      <w:r w:rsidRPr="00803AD9">
        <w:rPr>
          <w:rFonts w:eastAsiaTheme="minorHAnsi"/>
          <w:color w:val="000000" w:themeColor="text1"/>
          <w:sz w:val="24"/>
          <w:szCs w:val="24"/>
          <w:lang w:val="es-CO"/>
        </w:rPr>
        <w:t>,</w:t>
      </w:r>
      <w:proofErr w:type="gramEnd"/>
      <w:r w:rsidRPr="00803AD9">
        <w:rPr>
          <w:rFonts w:eastAsiaTheme="minorHAnsi"/>
          <w:color w:val="000000" w:themeColor="text1"/>
          <w:sz w:val="24"/>
          <w:szCs w:val="24"/>
          <w:lang w:val="es-CO"/>
        </w:rPr>
        <w:t xml:space="preserve"> así como los traslados de documentos y peticiones que se hagan a las distintas entidades en este mismo tema, deben recibirse y radicarse en el sistema de correspondencia interna, con la anotación expresa de que los términos para tramitar y resolver</w:t>
      </w:r>
    </w:p>
    <w:p w14:paraId="0A1CB83D" w14:textId="4294DA21" w:rsidR="00D33F2B" w:rsidRPr="00803AD9" w:rsidRDefault="00D33F2B" w:rsidP="00D33F2B">
      <w:pPr>
        <w:widowControl/>
        <w:adjustRightInd w:val="0"/>
        <w:jc w:val="both"/>
        <w:rPr>
          <w:rFonts w:eastAsiaTheme="minorHAnsi"/>
          <w:color w:val="000000" w:themeColor="text1"/>
          <w:sz w:val="24"/>
          <w:szCs w:val="24"/>
          <w:lang w:val="es-CO"/>
        </w:rPr>
      </w:pPr>
      <w:r w:rsidRPr="00803AD9">
        <w:rPr>
          <w:rFonts w:eastAsiaTheme="minorHAnsi"/>
          <w:color w:val="000000" w:themeColor="text1"/>
          <w:sz w:val="24"/>
          <w:szCs w:val="24"/>
          <w:lang w:val="es-CO"/>
        </w:rPr>
        <w:lastRenderedPageBreak/>
        <w:t>están suspendidos.</w:t>
      </w:r>
    </w:p>
    <w:p w14:paraId="6381041F" w14:textId="77777777" w:rsidR="00D33F2B" w:rsidRPr="00803AD9" w:rsidRDefault="00D33F2B" w:rsidP="00D33F2B">
      <w:pPr>
        <w:widowControl/>
        <w:adjustRightInd w:val="0"/>
        <w:jc w:val="both"/>
        <w:rPr>
          <w:rFonts w:eastAsiaTheme="minorHAnsi"/>
          <w:color w:val="000000" w:themeColor="text1"/>
          <w:sz w:val="24"/>
          <w:szCs w:val="24"/>
          <w:lang w:val="es-CO"/>
        </w:rPr>
      </w:pPr>
    </w:p>
    <w:p w14:paraId="2C42D79B" w14:textId="4EDCF796" w:rsidR="00867AB0" w:rsidRPr="00803AD9" w:rsidRDefault="00D33F2B" w:rsidP="00D33F2B">
      <w:pPr>
        <w:widowControl/>
        <w:adjustRightInd w:val="0"/>
        <w:jc w:val="both"/>
        <w:rPr>
          <w:rFonts w:eastAsiaTheme="minorHAnsi"/>
          <w:color w:val="000000" w:themeColor="text1"/>
          <w:sz w:val="24"/>
          <w:szCs w:val="24"/>
          <w:lang w:val="es-CO"/>
        </w:rPr>
      </w:pPr>
      <w:r w:rsidRPr="00803AD9">
        <w:rPr>
          <w:rFonts w:eastAsiaTheme="minorHAnsi"/>
          <w:color w:val="000000" w:themeColor="text1"/>
          <w:sz w:val="24"/>
          <w:szCs w:val="24"/>
          <w:lang w:val="es-CO"/>
        </w:rPr>
        <w:t>Queda igualmente suspendida la expedición de certificaciones catastrales</w:t>
      </w:r>
      <w:r w:rsidR="00D1778A" w:rsidRPr="00803AD9">
        <w:rPr>
          <w:color w:val="000000" w:themeColor="text1"/>
          <w:sz w:val="24"/>
          <w:szCs w:val="24"/>
        </w:rPr>
        <w:t xml:space="preserve"> y de inscripción catastral</w:t>
      </w:r>
      <w:r w:rsidRPr="00803AD9">
        <w:rPr>
          <w:rFonts w:eastAsiaTheme="minorHAnsi"/>
          <w:color w:val="000000" w:themeColor="text1"/>
          <w:sz w:val="24"/>
          <w:szCs w:val="24"/>
          <w:lang w:val="es-CO"/>
        </w:rPr>
        <w:t xml:space="preserve"> por las razones expuestas en la parte considerativa de la presente resolución.</w:t>
      </w:r>
    </w:p>
    <w:p w14:paraId="65C81B24" w14:textId="77777777" w:rsidR="00D33F2B" w:rsidRPr="00803AD9" w:rsidRDefault="00D33F2B" w:rsidP="00D33F2B">
      <w:pPr>
        <w:jc w:val="both"/>
        <w:rPr>
          <w:color w:val="000000" w:themeColor="text1"/>
          <w:sz w:val="24"/>
          <w:szCs w:val="24"/>
        </w:rPr>
      </w:pPr>
    </w:p>
    <w:p w14:paraId="1B561167" w14:textId="27D5FB7A" w:rsidR="00867AB0" w:rsidRPr="00803AD9" w:rsidRDefault="00867AB0" w:rsidP="00D33F2B">
      <w:pPr>
        <w:widowControl/>
        <w:adjustRightInd w:val="0"/>
        <w:jc w:val="both"/>
        <w:rPr>
          <w:rFonts w:eastAsiaTheme="minorHAnsi"/>
          <w:color w:val="000000" w:themeColor="text1"/>
          <w:sz w:val="24"/>
          <w:szCs w:val="24"/>
          <w:lang w:val="es-CO"/>
        </w:rPr>
      </w:pPr>
      <w:r w:rsidRPr="00803AD9">
        <w:rPr>
          <w:b/>
          <w:bCs/>
          <w:color w:val="000000" w:themeColor="text1"/>
          <w:sz w:val="24"/>
          <w:szCs w:val="24"/>
        </w:rPr>
        <w:t xml:space="preserve">ARTÍCULO 3. </w:t>
      </w:r>
      <w:r w:rsidR="00D33F2B" w:rsidRPr="00803AD9">
        <w:rPr>
          <w:rFonts w:eastAsiaTheme="minorHAnsi"/>
          <w:b/>
          <w:bCs/>
          <w:color w:val="000000" w:themeColor="text1"/>
          <w:sz w:val="24"/>
          <w:szCs w:val="24"/>
          <w:lang w:val="es-CO"/>
        </w:rPr>
        <w:t xml:space="preserve">INFORMAR </w:t>
      </w:r>
      <w:r w:rsidR="00D33F2B" w:rsidRPr="00803AD9">
        <w:rPr>
          <w:rFonts w:eastAsiaTheme="minorHAnsi"/>
          <w:color w:val="000000" w:themeColor="text1"/>
          <w:sz w:val="24"/>
          <w:szCs w:val="24"/>
          <w:lang w:val="es-CO"/>
        </w:rPr>
        <w:t xml:space="preserve">a los interesados sobre el cierre temporal de los aplicativos </w:t>
      </w:r>
      <w:proofErr w:type="spellStart"/>
      <w:r w:rsidR="00D33F2B" w:rsidRPr="00803AD9">
        <w:rPr>
          <w:rFonts w:eastAsiaTheme="minorHAnsi"/>
          <w:color w:val="000000" w:themeColor="text1"/>
          <w:sz w:val="24"/>
          <w:szCs w:val="24"/>
          <w:lang w:val="es-CO"/>
        </w:rPr>
        <w:t>Go</w:t>
      </w:r>
      <w:proofErr w:type="spellEnd"/>
      <w:r w:rsidR="00D33F2B" w:rsidRPr="00803AD9">
        <w:rPr>
          <w:rFonts w:eastAsiaTheme="minorHAnsi"/>
          <w:color w:val="000000" w:themeColor="text1"/>
          <w:sz w:val="24"/>
          <w:szCs w:val="24"/>
          <w:lang w:val="es-CO"/>
        </w:rPr>
        <w:t xml:space="preserve"> Catastral y Catastro en Línea (CEL) y de manera presencial en la ventanilla de atención al ciudadano para la radicación de trámites catastrales, mediante mensajes registrados en el sitio web de la entidad y/o cualquier otro medio de divulgación eficaz.</w:t>
      </w:r>
    </w:p>
    <w:p w14:paraId="3E3B984A" w14:textId="77777777" w:rsidR="002C6A71" w:rsidRPr="00803AD9" w:rsidRDefault="002C6A71" w:rsidP="00867AB0">
      <w:pPr>
        <w:jc w:val="both"/>
        <w:rPr>
          <w:color w:val="000000" w:themeColor="text1"/>
          <w:sz w:val="24"/>
          <w:szCs w:val="24"/>
        </w:rPr>
      </w:pPr>
    </w:p>
    <w:p w14:paraId="451C85A3" w14:textId="3510D3E8" w:rsidR="00867AB0" w:rsidRPr="00803AD9" w:rsidRDefault="00867AB0" w:rsidP="00AD3D97">
      <w:pPr>
        <w:widowControl/>
        <w:adjustRightInd w:val="0"/>
        <w:jc w:val="both"/>
        <w:rPr>
          <w:b/>
          <w:bCs/>
          <w:color w:val="000000" w:themeColor="text1"/>
          <w:sz w:val="24"/>
          <w:szCs w:val="24"/>
        </w:rPr>
      </w:pPr>
      <w:r w:rsidRPr="00803AD9">
        <w:rPr>
          <w:b/>
          <w:bCs/>
          <w:color w:val="000000" w:themeColor="text1"/>
          <w:sz w:val="24"/>
          <w:szCs w:val="24"/>
        </w:rPr>
        <w:t xml:space="preserve">ARTÍCULO 4. PUBLICACIÓN. </w:t>
      </w:r>
      <w:r w:rsidRPr="00803AD9">
        <w:rPr>
          <w:color w:val="000000" w:themeColor="text1"/>
          <w:sz w:val="24"/>
          <w:szCs w:val="24"/>
        </w:rPr>
        <w:t>La presente resolución rige a partir de la fecha de su publicación en el Registro Distrital, conforme a lo establecido en el artículo 65 de la Ley 1437 de 2011. Divúlguese en la página web de</w:t>
      </w:r>
      <w:r w:rsidR="002452D8">
        <w:rPr>
          <w:color w:val="000000" w:themeColor="text1"/>
          <w:sz w:val="24"/>
          <w:szCs w:val="24"/>
        </w:rPr>
        <w:t xml:space="preserve">l Distrito Turístico y Cultural Cartagena de Indias </w:t>
      </w:r>
      <w:r w:rsidRPr="00803AD9">
        <w:rPr>
          <w:color w:val="000000" w:themeColor="text1"/>
          <w:sz w:val="24"/>
          <w:szCs w:val="24"/>
        </w:rPr>
        <w:t>y en la página web del gestor catastral.</w:t>
      </w:r>
      <w:r w:rsidRPr="00803AD9">
        <w:rPr>
          <w:b/>
          <w:bCs/>
          <w:color w:val="000000" w:themeColor="text1"/>
          <w:sz w:val="24"/>
          <w:szCs w:val="24"/>
        </w:rPr>
        <w:t xml:space="preserve"> </w:t>
      </w:r>
    </w:p>
    <w:p w14:paraId="723F9B0C" w14:textId="77777777" w:rsidR="00867AB0" w:rsidRPr="00803AD9" w:rsidRDefault="00867AB0" w:rsidP="00867AB0">
      <w:pPr>
        <w:jc w:val="both"/>
        <w:rPr>
          <w:color w:val="000000" w:themeColor="text1"/>
          <w:sz w:val="24"/>
          <w:szCs w:val="24"/>
        </w:rPr>
      </w:pPr>
    </w:p>
    <w:p w14:paraId="5264BC33" w14:textId="77777777" w:rsidR="00A05AB0" w:rsidRPr="00803AD9" w:rsidRDefault="00716962" w:rsidP="003A7696">
      <w:pPr>
        <w:pStyle w:val="Ttulo1"/>
        <w:ind w:left="0" w:right="0"/>
        <w:rPr>
          <w:color w:val="000000" w:themeColor="text1"/>
        </w:rPr>
      </w:pPr>
      <w:r w:rsidRPr="00803AD9">
        <w:rPr>
          <w:color w:val="000000" w:themeColor="text1"/>
        </w:rPr>
        <w:t>PUBLÍQUESE.</w:t>
      </w:r>
      <w:r w:rsidRPr="00803AD9">
        <w:rPr>
          <w:color w:val="000000" w:themeColor="text1"/>
          <w:spacing w:val="-3"/>
        </w:rPr>
        <w:t xml:space="preserve"> </w:t>
      </w:r>
      <w:r w:rsidRPr="00803AD9">
        <w:rPr>
          <w:color w:val="000000" w:themeColor="text1"/>
        </w:rPr>
        <w:t>COMINIQUESE</w:t>
      </w:r>
      <w:r w:rsidRPr="00803AD9">
        <w:rPr>
          <w:color w:val="000000" w:themeColor="text1"/>
          <w:spacing w:val="-3"/>
        </w:rPr>
        <w:t xml:space="preserve"> </w:t>
      </w:r>
      <w:r w:rsidRPr="00803AD9">
        <w:rPr>
          <w:color w:val="000000" w:themeColor="text1"/>
          <w:spacing w:val="-2"/>
        </w:rPr>
        <w:t>CÚMPLASE</w:t>
      </w:r>
    </w:p>
    <w:p w14:paraId="7D94DF7E" w14:textId="77777777" w:rsidR="00A05AB0" w:rsidRPr="00803AD9" w:rsidRDefault="00A05AB0" w:rsidP="003A7696">
      <w:pPr>
        <w:pStyle w:val="Textoindependiente"/>
        <w:jc w:val="center"/>
        <w:rPr>
          <w:b/>
          <w:color w:val="000000" w:themeColor="text1"/>
        </w:rPr>
      </w:pPr>
    </w:p>
    <w:p w14:paraId="534EE559" w14:textId="77777777" w:rsidR="00A05AB0" w:rsidRDefault="00A05AB0" w:rsidP="003A7696">
      <w:pPr>
        <w:pStyle w:val="Textoindependiente"/>
        <w:jc w:val="center"/>
        <w:rPr>
          <w:b/>
          <w:color w:val="000000" w:themeColor="text1"/>
        </w:rPr>
      </w:pPr>
    </w:p>
    <w:p w14:paraId="478D45E5" w14:textId="77777777" w:rsidR="00803AD9" w:rsidRDefault="00803AD9" w:rsidP="003A7696">
      <w:pPr>
        <w:pStyle w:val="Textoindependiente"/>
        <w:jc w:val="center"/>
        <w:rPr>
          <w:b/>
          <w:color w:val="000000" w:themeColor="text1"/>
        </w:rPr>
      </w:pPr>
    </w:p>
    <w:p w14:paraId="72AAD6D7" w14:textId="77777777" w:rsidR="00803AD9" w:rsidRPr="00803AD9" w:rsidRDefault="00803AD9" w:rsidP="003A7696">
      <w:pPr>
        <w:pStyle w:val="Textoindependiente"/>
        <w:jc w:val="center"/>
        <w:rPr>
          <w:b/>
          <w:color w:val="000000" w:themeColor="text1"/>
        </w:rPr>
      </w:pPr>
    </w:p>
    <w:p w14:paraId="14C17BD9" w14:textId="3670DF30" w:rsidR="00A05AB0" w:rsidRPr="00803AD9" w:rsidRDefault="00716962" w:rsidP="003A7696">
      <w:pPr>
        <w:jc w:val="center"/>
        <w:rPr>
          <w:color w:val="000000" w:themeColor="text1"/>
          <w:sz w:val="24"/>
          <w:szCs w:val="24"/>
        </w:rPr>
      </w:pPr>
      <w:r w:rsidRPr="00803AD9">
        <w:rPr>
          <w:color w:val="000000" w:themeColor="text1"/>
          <w:sz w:val="24"/>
          <w:szCs w:val="24"/>
        </w:rPr>
        <w:t>Dada</w:t>
      </w:r>
      <w:r w:rsidRPr="00803AD9">
        <w:rPr>
          <w:color w:val="000000" w:themeColor="text1"/>
          <w:spacing w:val="-6"/>
          <w:sz w:val="24"/>
          <w:szCs w:val="24"/>
        </w:rPr>
        <w:t xml:space="preserve"> </w:t>
      </w:r>
      <w:r w:rsidRPr="00803AD9">
        <w:rPr>
          <w:color w:val="000000" w:themeColor="text1"/>
          <w:sz w:val="24"/>
          <w:szCs w:val="24"/>
        </w:rPr>
        <w:t>en</w:t>
      </w:r>
      <w:r w:rsidRPr="00803AD9">
        <w:rPr>
          <w:color w:val="000000" w:themeColor="text1"/>
          <w:spacing w:val="-3"/>
          <w:sz w:val="24"/>
          <w:szCs w:val="24"/>
        </w:rPr>
        <w:t xml:space="preserve"> </w:t>
      </w:r>
      <w:r w:rsidR="00FC4C2F">
        <w:rPr>
          <w:color w:val="000000" w:themeColor="text1"/>
          <w:sz w:val="24"/>
          <w:szCs w:val="24"/>
        </w:rPr>
        <w:t>el Distrito Turístico y Cultural de Cartagena de Indias</w:t>
      </w:r>
      <w:r w:rsidRPr="00803AD9">
        <w:rPr>
          <w:color w:val="000000" w:themeColor="text1"/>
          <w:sz w:val="24"/>
          <w:szCs w:val="24"/>
        </w:rPr>
        <w:t>.,</w:t>
      </w:r>
      <w:r w:rsidRPr="00803AD9">
        <w:rPr>
          <w:color w:val="000000" w:themeColor="text1"/>
          <w:spacing w:val="-3"/>
          <w:sz w:val="24"/>
          <w:szCs w:val="24"/>
        </w:rPr>
        <w:t xml:space="preserve"> </w:t>
      </w:r>
      <w:r w:rsidRPr="00803AD9">
        <w:rPr>
          <w:color w:val="000000" w:themeColor="text1"/>
          <w:sz w:val="24"/>
          <w:szCs w:val="24"/>
        </w:rPr>
        <w:t>a</w:t>
      </w:r>
      <w:r w:rsidRPr="00803AD9">
        <w:rPr>
          <w:color w:val="000000" w:themeColor="text1"/>
          <w:spacing w:val="-2"/>
          <w:sz w:val="24"/>
          <w:szCs w:val="24"/>
        </w:rPr>
        <w:t xml:space="preserve"> </w:t>
      </w:r>
      <w:r w:rsidRPr="00803AD9">
        <w:rPr>
          <w:color w:val="000000" w:themeColor="text1"/>
          <w:sz w:val="24"/>
          <w:szCs w:val="24"/>
        </w:rPr>
        <w:t>los</w:t>
      </w:r>
    </w:p>
    <w:p w14:paraId="5DB8F89D" w14:textId="77777777" w:rsidR="00A05AB0" w:rsidRPr="00803AD9" w:rsidRDefault="00A05AB0" w:rsidP="003A7696">
      <w:pPr>
        <w:pStyle w:val="Textoindependiente"/>
        <w:jc w:val="center"/>
        <w:rPr>
          <w:color w:val="000000" w:themeColor="text1"/>
        </w:rPr>
      </w:pPr>
    </w:p>
    <w:p w14:paraId="1C269580" w14:textId="5ADF5675" w:rsidR="00A05AB0" w:rsidRPr="00803AD9" w:rsidRDefault="00A05AB0" w:rsidP="003A7696">
      <w:pPr>
        <w:pStyle w:val="Textoindependiente"/>
        <w:jc w:val="center"/>
        <w:rPr>
          <w:color w:val="000000" w:themeColor="text1"/>
        </w:rPr>
      </w:pPr>
    </w:p>
    <w:p w14:paraId="4504B65F" w14:textId="60D53B9E" w:rsidR="001C6519" w:rsidRPr="00803AD9" w:rsidRDefault="001C6519" w:rsidP="003A7696">
      <w:pPr>
        <w:pStyle w:val="Textoindependiente"/>
        <w:jc w:val="center"/>
        <w:rPr>
          <w:color w:val="000000" w:themeColor="text1"/>
        </w:rPr>
      </w:pPr>
    </w:p>
    <w:p w14:paraId="7BAB5A04" w14:textId="77777777" w:rsidR="002452D8" w:rsidRDefault="002452D8" w:rsidP="003A7696">
      <w:pPr>
        <w:pStyle w:val="Textoindependiente"/>
        <w:jc w:val="center"/>
        <w:rPr>
          <w:b/>
          <w:bCs/>
          <w:color w:val="000000" w:themeColor="text1"/>
        </w:rPr>
      </w:pPr>
      <w:r>
        <w:rPr>
          <w:b/>
          <w:bCs/>
          <w:color w:val="000000" w:themeColor="text1"/>
        </w:rPr>
        <w:t xml:space="preserve">FERNANDO SUAREZ ARIAS </w:t>
      </w:r>
    </w:p>
    <w:p w14:paraId="46A47A23" w14:textId="1B72921F" w:rsidR="00BB111D" w:rsidRPr="00803AD9" w:rsidRDefault="00BB111D" w:rsidP="003A7696">
      <w:pPr>
        <w:pStyle w:val="Textoindependiente"/>
        <w:jc w:val="center"/>
        <w:rPr>
          <w:b/>
          <w:bCs/>
          <w:color w:val="000000" w:themeColor="text1"/>
        </w:rPr>
      </w:pPr>
      <w:r w:rsidRPr="00803AD9">
        <w:rPr>
          <w:b/>
          <w:bCs/>
          <w:color w:val="000000" w:themeColor="text1"/>
        </w:rPr>
        <w:t xml:space="preserve">GERENTE </w:t>
      </w:r>
      <w:r w:rsidR="002452D8">
        <w:rPr>
          <w:b/>
          <w:bCs/>
          <w:color w:val="000000" w:themeColor="text1"/>
        </w:rPr>
        <w:t>JURÍDICO</w:t>
      </w:r>
    </w:p>
    <w:p w14:paraId="273CAA6F" w14:textId="0650FA75" w:rsidR="00BB111D" w:rsidRPr="00803AD9" w:rsidRDefault="00BB111D" w:rsidP="003A7696">
      <w:pPr>
        <w:pStyle w:val="Textoindependiente"/>
        <w:jc w:val="center"/>
        <w:rPr>
          <w:b/>
          <w:bCs/>
          <w:color w:val="000000" w:themeColor="text1"/>
        </w:rPr>
      </w:pPr>
      <w:r w:rsidRPr="00803AD9">
        <w:rPr>
          <w:b/>
          <w:bCs/>
          <w:color w:val="000000" w:themeColor="text1"/>
        </w:rPr>
        <w:t>DELEGAD</w:t>
      </w:r>
      <w:r w:rsidR="002452D8">
        <w:rPr>
          <w:b/>
          <w:bCs/>
          <w:color w:val="000000" w:themeColor="text1"/>
        </w:rPr>
        <w:t>O</w:t>
      </w:r>
    </w:p>
    <w:p w14:paraId="7378D6FB" w14:textId="5BABFF27" w:rsidR="00A05AB0" w:rsidRPr="00803AD9" w:rsidRDefault="00716962" w:rsidP="003A7696">
      <w:pPr>
        <w:jc w:val="center"/>
        <w:rPr>
          <w:b/>
          <w:color w:val="000000" w:themeColor="text1"/>
          <w:spacing w:val="-2"/>
          <w:sz w:val="24"/>
          <w:szCs w:val="24"/>
        </w:rPr>
      </w:pPr>
      <w:r w:rsidRPr="00803AD9">
        <w:rPr>
          <w:b/>
          <w:color w:val="000000" w:themeColor="text1"/>
          <w:sz w:val="24"/>
          <w:szCs w:val="24"/>
        </w:rPr>
        <w:t>UAECD-</w:t>
      </w:r>
      <w:r w:rsidR="001C6519" w:rsidRPr="00803AD9">
        <w:rPr>
          <w:b/>
          <w:color w:val="000000" w:themeColor="text1"/>
          <w:sz w:val="24"/>
          <w:szCs w:val="24"/>
        </w:rPr>
        <w:t>GO</w:t>
      </w:r>
      <w:r w:rsidR="001C6519" w:rsidRPr="00803AD9">
        <w:rPr>
          <w:b/>
          <w:color w:val="000000" w:themeColor="text1"/>
          <w:spacing w:val="-9"/>
          <w:sz w:val="24"/>
          <w:szCs w:val="24"/>
        </w:rPr>
        <w:t xml:space="preserve"> </w:t>
      </w:r>
      <w:r w:rsidR="001C6519" w:rsidRPr="00803AD9">
        <w:rPr>
          <w:b/>
          <w:color w:val="000000" w:themeColor="text1"/>
          <w:sz w:val="24"/>
          <w:szCs w:val="24"/>
        </w:rPr>
        <w:t xml:space="preserve">CATASTRAL </w:t>
      </w:r>
      <w:r w:rsidR="002452D8">
        <w:rPr>
          <w:b/>
          <w:color w:val="000000" w:themeColor="text1"/>
          <w:sz w:val="24"/>
          <w:szCs w:val="24"/>
        </w:rPr>
        <w:t>DISTRITO TURISTICO Y CULTURAL DE CARTAGENAS DE INDIAS</w:t>
      </w:r>
    </w:p>
    <w:p w14:paraId="59EC7E91" w14:textId="1D45BD58" w:rsidR="001C6519" w:rsidRPr="00803AD9" w:rsidRDefault="001C6519" w:rsidP="003A7696">
      <w:pPr>
        <w:jc w:val="center"/>
        <w:rPr>
          <w:b/>
          <w:color w:val="000000" w:themeColor="text1"/>
          <w:spacing w:val="-2"/>
        </w:rPr>
      </w:pPr>
    </w:p>
    <w:p w14:paraId="74735E3E" w14:textId="77777777" w:rsidR="00F708CE" w:rsidRPr="00803AD9" w:rsidRDefault="00F708CE" w:rsidP="003A7696">
      <w:pPr>
        <w:jc w:val="center"/>
        <w:rPr>
          <w:b/>
          <w:color w:val="000000" w:themeColor="text1"/>
          <w:spacing w:val="-2"/>
        </w:rPr>
      </w:pPr>
    </w:p>
    <w:p w14:paraId="7F40D56A" w14:textId="77777777" w:rsidR="00F708CE" w:rsidRPr="00803AD9" w:rsidRDefault="00F708CE" w:rsidP="003A7696">
      <w:pPr>
        <w:jc w:val="center"/>
        <w:rPr>
          <w:b/>
          <w:color w:val="000000" w:themeColor="text1"/>
          <w:spacing w:val="-2"/>
        </w:rPr>
      </w:pPr>
    </w:p>
    <w:p w14:paraId="0F5BF4C0" w14:textId="77777777" w:rsidR="002452D8" w:rsidRPr="003245AB" w:rsidRDefault="002452D8" w:rsidP="002452D8">
      <w:pPr>
        <w:adjustRightInd w:val="0"/>
        <w:rPr>
          <w:rFonts w:eastAsia="Calibri"/>
          <w:color w:val="0D0D0D" w:themeColor="text1" w:themeTint="F2"/>
          <w:sz w:val="16"/>
          <w:szCs w:val="16"/>
        </w:rPr>
      </w:pPr>
      <w:r w:rsidRPr="003245AB">
        <w:rPr>
          <w:rFonts w:eastAsia="Calibri"/>
          <w:color w:val="0D0D0D" w:themeColor="text1" w:themeTint="F2"/>
          <w:sz w:val="16"/>
          <w:szCs w:val="16"/>
        </w:rPr>
        <w:t>Proyectó:  Juan Manuel quiñones Murcia - Subgerente de Gestión Jurídica UAECD</w:t>
      </w:r>
    </w:p>
    <w:p w14:paraId="55C915A8" w14:textId="77777777" w:rsidR="002452D8" w:rsidRPr="003245AB" w:rsidRDefault="002452D8" w:rsidP="002452D8">
      <w:pPr>
        <w:adjustRightInd w:val="0"/>
        <w:rPr>
          <w:rFonts w:eastAsia="Calibri"/>
          <w:color w:val="0D0D0D" w:themeColor="text1" w:themeTint="F2"/>
          <w:sz w:val="16"/>
          <w:szCs w:val="16"/>
        </w:rPr>
      </w:pPr>
    </w:p>
    <w:p w14:paraId="1E50B8CE" w14:textId="77777777" w:rsidR="002452D8" w:rsidRPr="003245AB" w:rsidRDefault="002452D8" w:rsidP="002452D8">
      <w:pPr>
        <w:adjustRightInd w:val="0"/>
        <w:rPr>
          <w:rFonts w:eastAsia="Calibri"/>
          <w:color w:val="0D0D0D" w:themeColor="text1" w:themeTint="F2"/>
          <w:sz w:val="16"/>
          <w:szCs w:val="16"/>
        </w:rPr>
      </w:pPr>
      <w:r w:rsidRPr="003245AB">
        <w:rPr>
          <w:rFonts w:eastAsia="Calibri"/>
          <w:color w:val="0D0D0D" w:themeColor="text1" w:themeTint="F2"/>
          <w:sz w:val="16"/>
          <w:szCs w:val="16"/>
        </w:rPr>
        <w:t xml:space="preserve">Revisó:      María Rosario Piñeres. Contratista. </w:t>
      </w:r>
    </w:p>
    <w:p w14:paraId="19CE8A75" w14:textId="77777777" w:rsidR="002452D8" w:rsidRPr="003245AB" w:rsidRDefault="002452D8" w:rsidP="002452D8">
      <w:pPr>
        <w:adjustRightInd w:val="0"/>
        <w:rPr>
          <w:rFonts w:eastAsia="Calibri"/>
          <w:color w:val="0D0D0D" w:themeColor="text1" w:themeTint="F2"/>
          <w:sz w:val="16"/>
          <w:szCs w:val="16"/>
        </w:rPr>
      </w:pPr>
      <w:r w:rsidRPr="003245AB">
        <w:rPr>
          <w:rFonts w:eastAsia="Calibri"/>
          <w:color w:val="0D0D0D" w:themeColor="text1" w:themeTint="F2"/>
          <w:sz w:val="16"/>
          <w:szCs w:val="16"/>
        </w:rPr>
        <w:t xml:space="preserve">                  Cristian Camilo Araujo Profesional Universitario</w:t>
      </w:r>
    </w:p>
    <w:p w14:paraId="23A27941" w14:textId="77777777" w:rsidR="002452D8" w:rsidRPr="003245AB" w:rsidRDefault="002452D8" w:rsidP="002452D8">
      <w:pPr>
        <w:jc w:val="both"/>
        <w:rPr>
          <w:rFonts w:eastAsia="Calibri"/>
          <w:color w:val="0D0D0D" w:themeColor="text1" w:themeTint="F2"/>
          <w:sz w:val="16"/>
          <w:szCs w:val="16"/>
        </w:rPr>
      </w:pPr>
      <w:r w:rsidRPr="003245AB">
        <w:rPr>
          <w:rFonts w:eastAsia="Calibri"/>
          <w:color w:val="0D0D0D" w:themeColor="text1" w:themeTint="F2"/>
          <w:sz w:val="16"/>
          <w:szCs w:val="16"/>
        </w:rPr>
        <w:t xml:space="preserve">                 </w:t>
      </w:r>
    </w:p>
    <w:p w14:paraId="2B1288C8" w14:textId="77777777" w:rsidR="002452D8" w:rsidRPr="003245AB" w:rsidRDefault="002452D8" w:rsidP="002452D8">
      <w:pPr>
        <w:jc w:val="both"/>
        <w:rPr>
          <w:rFonts w:eastAsia="Calibri"/>
          <w:color w:val="0D0D0D" w:themeColor="text1" w:themeTint="F2"/>
          <w:sz w:val="16"/>
          <w:szCs w:val="16"/>
        </w:rPr>
      </w:pPr>
      <w:r w:rsidRPr="003245AB">
        <w:rPr>
          <w:rFonts w:eastAsia="Calibri"/>
          <w:color w:val="0D0D0D" w:themeColor="text1" w:themeTint="F2"/>
          <w:sz w:val="16"/>
          <w:szCs w:val="16"/>
        </w:rPr>
        <w:t>Aprobó:    Héctor Henry Pedraza. Gerente de Tecnología.</w:t>
      </w:r>
    </w:p>
    <w:p w14:paraId="01163627" w14:textId="77777777" w:rsidR="002452D8" w:rsidRPr="00CD742F" w:rsidRDefault="002452D8" w:rsidP="002452D8">
      <w:pPr>
        <w:jc w:val="both"/>
        <w:rPr>
          <w:rFonts w:eastAsia="Calibri"/>
          <w:color w:val="0D0D0D" w:themeColor="text1" w:themeTint="F2"/>
          <w:sz w:val="16"/>
          <w:szCs w:val="16"/>
        </w:rPr>
      </w:pPr>
      <w:r w:rsidRPr="00CD742F">
        <w:rPr>
          <w:rFonts w:eastAsia="Calibri"/>
          <w:color w:val="0D0D0D" w:themeColor="text1" w:themeTint="F2"/>
          <w:sz w:val="16"/>
          <w:szCs w:val="16"/>
        </w:rPr>
        <w:t xml:space="preserve">            </w:t>
      </w:r>
      <w:r>
        <w:rPr>
          <w:rFonts w:eastAsia="Calibri"/>
          <w:color w:val="0D0D0D" w:themeColor="text1" w:themeTint="F2"/>
          <w:sz w:val="16"/>
          <w:szCs w:val="16"/>
        </w:rPr>
        <w:t xml:space="preserve">     </w:t>
      </w:r>
      <w:r w:rsidRPr="00CD742F">
        <w:rPr>
          <w:rFonts w:eastAsia="Calibri"/>
          <w:color w:val="0D0D0D" w:themeColor="text1" w:themeTint="F2"/>
          <w:sz w:val="16"/>
          <w:szCs w:val="16"/>
        </w:rPr>
        <w:t xml:space="preserve">Ligia </w:t>
      </w:r>
      <w:r>
        <w:rPr>
          <w:rFonts w:eastAsia="Calibri"/>
          <w:color w:val="0D0D0D" w:themeColor="text1" w:themeTint="F2"/>
          <w:sz w:val="16"/>
          <w:szCs w:val="16"/>
        </w:rPr>
        <w:t>E</w:t>
      </w:r>
      <w:r w:rsidRPr="00CD742F">
        <w:rPr>
          <w:rFonts w:eastAsia="Calibri"/>
          <w:color w:val="0D0D0D" w:themeColor="text1" w:themeTint="F2"/>
          <w:sz w:val="16"/>
          <w:szCs w:val="16"/>
        </w:rPr>
        <w:t xml:space="preserve">lvira </w:t>
      </w:r>
      <w:r>
        <w:rPr>
          <w:rFonts w:eastAsia="Calibri"/>
          <w:color w:val="0D0D0D" w:themeColor="text1" w:themeTint="F2"/>
          <w:sz w:val="16"/>
          <w:szCs w:val="16"/>
        </w:rPr>
        <w:t>G</w:t>
      </w:r>
      <w:r w:rsidRPr="00CD742F">
        <w:rPr>
          <w:rFonts w:eastAsia="Calibri"/>
          <w:color w:val="0D0D0D" w:themeColor="text1" w:themeTint="F2"/>
          <w:sz w:val="16"/>
          <w:szCs w:val="16"/>
        </w:rPr>
        <w:t xml:space="preserve">onzález </w:t>
      </w:r>
      <w:r>
        <w:rPr>
          <w:rFonts w:eastAsia="Calibri"/>
          <w:color w:val="0D0D0D" w:themeColor="text1" w:themeTint="F2"/>
          <w:sz w:val="16"/>
          <w:szCs w:val="16"/>
        </w:rPr>
        <w:t>M</w:t>
      </w:r>
      <w:r w:rsidRPr="00CD742F">
        <w:rPr>
          <w:rFonts w:eastAsia="Calibri"/>
          <w:color w:val="0D0D0D" w:themeColor="text1" w:themeTint="F2"/>
          <w:sz w:val="16"/>
          <w:szCs w:val="16"/>
        </w:rPr>
        <w:t xml:space="preserve">artínez. </w:t>
      </w:r>
      <w:r>
        <w:rPr>
          <w:rFonts w:eastAsia="Calibri"/>
          <w:color w:val="0D0D0D" w:themeColor="text1" w:themeTint="F2"/>
          <w:sz w:val="16"/>
          <w:szCs w:val="16"/>
        </w:rPr>
        <w:t xml:space="preserve">Gerente Comercial y de Atención al Usuario. </w:t>
      </w:r>
    </w:p>
    <w:p w14:paraId="368C8DE8" w14:textId="77777777" w:rsidR="00F708CE" w:rsidRPr="00803AD9" w:rsidRDefault="00F708CE" w:rsidP="00BB111D">
      <w:pPr>
        <w:jc w:val="both"/>
        <w:rPr>
          <w:color w:val="000000" w:themeColor="text1"/>
        </w:rPr>
      </w:pPr>
    </w:p>
    <w:sectPr w:rsidR="00F708CE" w:rsidRPr="00803AD9">
      <w:headerReference w:type="default" r:id="rId8"/>
      <w:footerReference w:type="default" r:id="rId9"/>
      <w:pgSz w:w="12240" w:h="15840"/>
      <w:pgMar w:top="2920" w:right="1580" w:bottom="900" w:left="1580" w:header="947" w:footer="70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3E04" w14:textId="77777777" w:rsidR="00B448B4" w:rsidRDefault="00B448B4">
      <w:r>
        <w:separator/>
      </w:r>
    </w:p>
  </w:endnote>
  <w:endnote w:type="continuationSeparator" w:id="0">
    <w:p w14:paraId="10D226C5" w14:textId="77777777" w:rsidR="00B448B4" w:rsidRDefault="00B4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4C44" w14:textId="3F5C38A2" w:rsidR="00A05AB0" w:rsidRDefault="00054A36">
    <w:pPr>
      <w:pStyle w:val="Textoindependiente"/>
      <w:spacing w:line="14" w:lineRule="auto"/>
      <w:rPr>
        <w:sz w:val="20"/>
      </w:rPr>
    </w:pPr>
    <w:r>
      <w:rPr>
        <w:noProof/>
      </w:rPr>
      <mc:AlternateContent>
        <mc:Choice Requires="wps">
          <w:drawing>
            <wp:anchor distT="0" distB="0" distL="114300" distR="114300" simplePos="0" relativeHeight="487516672" behindDoc="1" locked="0" layoutInCell="1" allowOverlap="1" wp14:anchorId="2279D016" wp14:editId="6BE806DD">
              <wp:simplePos x="0" y="0"/>
              <wp:positionH relativeFrom="page">
                <wp:posOffset>3702685</wp:posOffset>
              </wp:positionH>
              <wp:positionV relativeFrom="page">
                <wp:posOffset>9474200</wp:posOffset>
              </wp:positionV>
              <wp:extent cx="1651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C908" w14:textId="77777777" w:rsidR="00A05AB0" w:rsidRDefault="00716962">
                          <w:pPr>
                            <w:pStyle w:val="Textoindependiente"/>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9D016" id="_x0000_t202" coordsize="21600,21600" o:spt="202" path="m,l,21600r21600,l21600,xe">
              <v:stroke joinstyle="miter"/>
              <v:path gradientshapeok="t" o:connecttype="rect"/>
            </v:shapetype>
            <v:shape id="docshape4" o:spid="_x0000_s1028" type="#_x0000_t202" style="position:absolute;margin-left:291.55pt;margin-top:746pt;width:13pt;height:15.3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" filled="f" stroked="f">
              <v:textbox inset="0,0,0,0">
                <w:txbxContent>
                  <w:p w14:paraId="546CC908" w14:textId="77777777" w:rsidR="00A05AB0" w:rsidRDefault="00716962">
                    <w:pPr>
                      <w:pStyle w:val="Textoindependiente"/>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0BB7" w14:textId="77777777" w:rsidR="00B448B4" w:rsidRDefault="00B448B4">
      <w:r>
        <w:separator/>
      </w:r>
    </w:p>
  </w:footnote>
  <w:footnote w:type="continuationSeparator" w:id="0">
    <w:p w14:paraId="0DFA72FD" w14:textId="77777777" w:rsidR="00B448B4" w:rsidRDefault="00B4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0951" w14:textId="4B9C30FB" w:rsidR="00A05AB0" w:rsidRDefault="00054A36">
    <w:pPr>
      <w:pStyle w:val="Textoindependiente"/>
      <w:spacing w:line="14" w:lineRule="auto"/>
      <w:rPr>
        <w:sz w:val="20"/>
      </w:rPr>
    </w:pPr>
    <w:r>
      <w:rPr>
        <w:noProof/>
      </w:rPr>
      <mc:AlternateContent>
        <mc:Choice Requires="wps">
          <w:drawing>
            <wp:anchor distT="0" distB="0" distL="114300" distR="114300" simplePos="0" relativeHeight="487515648" behindDoc="1" locked="0" layoutInCell="1" allowOverlap="1" wp14:anchorId="21AC17A3" wp14:editId="18F6B576">
              <wp:simplePos x="0" y="0"/>
              <wp:positionH relativeFrom="page">
                <wp:posOffset>2393315</wp:posOffset>
              </wp:positionH>
              <wp:positionV relativeFrom="page">
                <wp:posOffset>622935</wp:posOffset>
              </wp:positionV>
              <wp:extent cx="3446145"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6985" w14:textId="35E300A7" w:rsidR="00A05AB0" w:rsidRPr="006F6254" w:rsidRDefault="001C6519" w:rsidP="001C6519">
                          <w:pPr>
                            <w:spacing w:before="10"/>
                            <w:ind w:left="20"/>
                            <w:jc w:val="center"/>
                            <w:rPr>
                              <w:b/>
                              <w:sz w:val="24"/>
                            </w:rPr>
                          </w:pPr>
                          <w:r w:rsidRPr="006F6254">
                            <w:rPr>
                              <w:b/>
                              <w:sz w:val="24"/>
                            </w:rPr>
                            <w:t>RESOLUCIÓN</w:t>
                          </w:r>
                          <w:r w:rsidRPr="006F6254">
                            <w:rPr>
                              <w:b/>
                              <w:spacing w:val="25"/>
                              <w:sz w:val="24"/>
                            </w:rPr>
                            <w:t xml:space="preserve"> </w:t>
                          </w:r>
                          <w:proofErr w:type="spellStart"/>
                          <w:r w:rsidRPr="006F6254">
                            <w:rPr>
                              <w:b/>
                              <w:spacing w:val="25"/>
                              <w:sz w:val="24"/>
                            </w:rPr>
                            <w:t>N</w:t>
                          </w:r>
                          <w:r w:rsidR="00803AD9">
                            <w:rPr>
                              <w:b/>
                              <w:spacing w:val="25"/>
                              <w:sz w:val="24"/>
                            </w:rPr>
                            <w:t>°</w:t>
                          </w:r>
                          <w:proofErr w:type="spellEnd"/>
                          <w:r w:rsidRPr="006F6254">
                            <w:rPr>
                              <w:b/>
                              <w:spacing w:val="-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C17A3" id="_x0000_t202" coordsize="21600,21600" o:spt="202" path="m,l,21600r21600,l21600,xe">
              <v:stroke joinstyle="miter"/>
              <v:path gradientshapeok="t" o:connecttype="rect"/>
            </v:shapetype>
            <v:shape id="docshape2" o:spid="_x0000_s1026" type="#_x0000_t202" style="position:absolute;margin-left:188.45pt;margin-top:49.05pt;width:271.35pt;height:15.3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" filled="f" stroked="f">
              <v:textbox inset="0,0,0,0">
                <w:txbxContent>
                  <w:p w14:paraId="04D56985" w14:textId="35E300A7" w:rsidR="00A05AB0" w:rsidRPr="006F6254" w:rsidRDefault="001C6519" w:rsidP="001C6519">
                    <w:pPr>
                      <w:spacing w:before="10"/>
                      <w:ind w:left="20"/>
                      <w:jc w:val="center"/>
                      <w:rPr>
                        <w:b/>
                        <w:sz w:val="24"/>
                      </w:rPr>
                    </w:pPr>
                    <w:r w:rsidRPr="006F6254">
                      <w:rPr>
                        <w:b/>
                        <w:sz w:val="24"/>
                      </w:rPr>
                      <w:t>RESOLUCIÓN</w:t>
                    </w:r>
                    <w:r w:rsidRPr="006F6254">
                      <w:rPr>
                        <w:b/>
                        <w:spacing w:val="25"/>
                        <w:sz w:val="24"/>
                      </w:rPr>
                      <w:t xml:space="preserve"> </w:t>
                    </w:r>
                    <w:proofErr w:type="spellStart"/>
                    <w:r w:rsidRPr="006F6254">
                      <w:rPr>
                        <w:b/>
                        <w:spacing w:val="25"/>
                        <w:sz w:val="24"/>
                      </w:rPr>
                      <w:t>N</w:t>
                    </w:r>
                    <w:r w:rsidR="00803AD9">
                      <w:rPr>
                        <w:b/>
                        <w:spacing w:val="25"/>
                        <w:sz w:val="24"/>
                      </w:rPr>
                      <w:t>°</w:t>
                    </w:r>
                    <w:proofErr w:type="spellEnd"/>
                    <w:r w:rsidRPr="006F6254">
                      <w:rPr>
                        <w:b/>
                        <w:spacing w:val="-5"/>
                        <w:sz w:val="24"/>
                      </w:rPr>
                      <w:t>.</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621388F3" wp14:editId="1EE6996B">
              <wp:simplePos x="0" y="0"/>
              <wp:positionH relativeFrom="page">
                <wp:posOffset>1066165</wp:posOffset>
              </wp:positionH>
              <wp:positionV relativeFrom="page">
                <wp:posOffset>973455</wp:posOffset>
              </wp:positionV>
              <wp:extent cx="5638800" cy="89535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7DFE" w14:textId="2DE3B731" w:rsidR="006F6254" w:rsidRPr="006F6254" w:rsidRDefault="006F6254" w:rsidP="006F6254">
                          <w:pPr>
                            <w:spacing w:before="10"/>
                            <w:ind w:left="20" w:right="18"/>
                            <w:jc w:val="center"/>
                            <w:rPr>
                              <w:b/>
                              <w:bCs/>
                              <w:i/>
                              <w:color w:val="333333"/>
                              <w:sz w:val="24"/>
                            </w:rPr>
                          </w:pPr>
                          <w:r w:rsidRPr="006F6254">
                            <w:rPr>
                              <w:b/>
                              <w:bCs/>
                              <w:i/>
                              <w:color w:val="333333"/>
                              <w:sz w:val="24"/>
                            </w:rPr>
                            <w:t>POR LA CUAL SE ORDENA EL CIERRE TEMPORAL DEL APLICATI</w:t>
                          </w:r>
                          <w:r w:rsidR="00E93448">
                            <w:rPr>
                              <w:b/>
                              <w:bCs/>
                              <w:i/>
                              <w:color w:val="333333"/>
                              <w:sz w:val="24"/>
                            </w:rPr>
                            <w:t>V</w:t>
                          </w:r>
                          <w:r w:rsidRPr="006F6254">
                            <w:rPr>
                              <w:b/>
                              <w:bCs/>
                              <w:i/>
                              <w:color w:val="333333"/>
                              <w:sz w:val="24"/>
                            </w:rPr>
                            <w:t>O GO</w:t>
                          </w:r>
                        </w:p>
                        <w:p w14:paraId="7C87C7DE" w14:textId="087B28AE" w:rsidR="00A05AB0" w:rsidRPr="006F6254" w:rsidRDefault="006F6254" w:rsidP="006F6254">
                          <w:pPr>
                            <w:spacing w:before="10"/>
                            <w:ind w:left="20" w:right="18"/>
                            <w:jc w:val="center"/>
                            <w:rPr>
                              <w:b/>
                              <w:bCs/>
                              <w:i/>
                              <w:sz w:val="24"/>
                            </w:rPr>
                          </w:pPr>
                          <w:r w:rsidRPr="006F6254">
                            <w:rPr>
                              <w:b/>
                              <w:bCs/>
                              <w:i/>
                              <w:color w:val="333333"/>
                              <w:sz w:val="24"/>
                            </w:rPr>
                            <w:t xml:space="preserve">CATASTRAL Y CATASTRO EN LÍNEA (CEL) TERRITORIAL </w:t>
                          </w:r>
                          <w:r w:rsidR="001635D8">
                            <w:rPr>
                              <w:b/>
                              <w:bCs/>
                              <w:i/>
                              <w:color w:val="333333"/>
                              <w:sz w:val="24"/>
                            </w:rPr>
                            <w:t xml:space="preserve">DEL DISTRITO TURISTICO Y CULTURAL DE CARTAGENAS DE INDIAS </w:t>
                          </w:r>
                          <w:r w:rsidR="00803AD9">
                            <w:rPr>
                              <w:b/>
                              <w:bCs/>
                              <w:i/>
                              <w:color w:val="333333"/>
                              <w:sz w:val="24"/>
                            </w:rPr>
                            <w:t>Y SE DICTAN OTRAS DISPOSICIONES</w:t>
                          </w:r>
                          <w:r w:rsidRPr="006F6254">
                            <w:rPr>
                              <w:b/>
                              <w:bCs/>
                              <w:i/>
                              <w:color w:val="33333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88F3" id="docshape3" o:spid="_x0000_s1027" type="#_x0000_t202" style="position:absolute;margin-left:83.95pt;margin-top:76.65pt;width:444pt;height:7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" filled="f" stroked="f">
              <v:textbox inset="0,0,0,0">
                <w:txbxContent>
                  <w:p w14:paraId="49617DFE" w14:textId="2DE3B731" w:rsidR="006F6254" w:rsidRPr="006F6254" w:rsidRDefault="006F6254" w:rsidP="006F6254">
                    <w:pPr>
                      <w:spacing w:before="10"/>
                      <w:ind w:left="20" w:right="18"/>
                      <w:jc w:val="center"/>
                      <w:rPr>
                        <w:b/>
                        <w:bCs/>
                        <w:i/>
                        <w:color w:val="333333"/>
                        <w:sz w:val="24"/>
                      </w:rPr>
                    </w:pPr>
                    <w:r w:rsidRPr="006F6254">
                      <w:rPr>
                        <w:b/>
                        <w:bCs/>
                        <w:i/>
                        <w:color w:val="333333"/>
                        <w:sz w:val="24"/>
                      </w:rPr>
                      <w:t>POR LA CUAL SE ORDENA EL CIERRE TEMPORAL DEL APLICATI</w:t>
                    </w:r>
                    <w:r w:rsidR="00E93448">
                      <w:rPr>
                        <w:b/>
                        <w:bCs/>
                        <w:i/>
                        <w:color w:val="333333"/>
                        <w:sz w:val="24"/>
                      </w:rPr>
                      <w:t>V</w:t>
                    </w:r>
                    <w:r w:rsidRPr="006F6254">
                      <w:rPr>
                        <w:b/>
                        <w:bCs/>
                        <w:i/>
                        <w:color w:val="333333"/>
                        <w:sz w:val="24"/>
                      </w:rPr>
                      <w:t>O GO</w:t>
                    </w:r>
                  </w:p>
                  <w:p w14:paraId="7C87C7DE" w14:textId="087B28AE" w:rsidR="00A05AB0" w:rsidRPr="006F6254" w:rsidRDefault="006F6254" w:rsidP="006F6254">
                    <w:pPr>
                      <w:spacing w:before="10"/>
                      <w:ind w:left="20" w:right="18"/>
                      <w:jc w:val="center"/>
                      <w:rPr>
                        <w:b/>
                        <w:bCs/>
                        <w:i/>
                        <w:sz w:val="24"/>
                      </w:rPr>
                    </w:pPr>
                    <w:r w:rsidRPr="006F6254">
                      <w:rPr>
                        <w:b/>
                        <w:bCs/>
                        <w:i/>
                        <w:color w:val="333333"/>
                        <w:sz w:val="24"/>
                      </w:rPr>
                      <w:t xml:space="preserve">CATASTRAL Y CATASTRO EN LÍNEA (CEL) TERRITORIAL </w:t>
                    </w:r>
                    <w:r w:rsidR="001635D8">
                      <w:rPr>
                        <w:b/>
                        <w:bCs/>
                        <w:i/>
                        <w:color w:val="333333"/>
                        <w:sz w:val="24"/>
                      </w:rPr>
                      <w:t xml:space="preserve">DEL DISTRITO TURISTICO Y CULTURAL DE CARTAGENAS DE INDIAS </w:t>
                    </w:r>
                    <w:r w:rsidR="00803AD9">
                      <w:rPr>
                        <w:b/>
                        <w:bCs/>
                        <w:i/>
                        <w:color w:val="333333"/>
                        <w:sz w:val="24"/>
                      </w:rPr>
                      <w:t>Y SE DICTAN OTRAS DISPOSICIONES</w:t>
                    </w:r>
                    <w:r w:rsidRPr="006F6254">
                      <w:rPr>
                        <w:b/>
                        <w:bCs/>
                        <w:i/>
                        <w:color w:val="333333"/>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5CF5"/>
    <w:multiLevelType w:val="hybridMultilevel"/>
    <w:tmpl w:val="C650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424F5"/>
    <w:multiLevelType w:val="hybridMultilevel"/>
    <w:tmpl w:val="5EBE3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20597B"/>
    <w:multiLevelType w:val="hybridMultilevel"/>
    <w:tmpl w:val="6B8C50C8"/>
    <w:lvl w:ilvl="0" w:tplc="69D0D3B6">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B0"/>
    <w:rsid w:val="00054A36"/>
    <w:rsid w:val="00071E64"/>
    <w:rsid w:val="00073BCA"/>
    <w:rsid w:val="000E298B"/>
    <w:rsid w:val="00121D6B"/>
    <w:rsid w:val="001635D8"/>
    <w:rsid w:val="001A2E41"/>
    <w:rsid w:val="001C6519"/>
    <w:rsid w:val="001D2FD1"/>
    <w:rsid w:val="001E33D5"/>
    <w:rsid w:val="00210469"/>
    <w:rsid w:val="002452D8"/>
    <w:rsid w:val="00250D91"/>
    <w:rsid w:val="002A630D"/>
    <w:rsid w:val="002C6A71"/>
    <w:rsid w:val="002F17EF"/>
    <w:rsid w:val="002F3309"/>
    <w:rsid w:val="003103E9"/>
    <w:rsid w:val="003327A1"/>
    <w:rsid w:val="00332CDE"/>
    <w:rsid w:val="00336241"/>
    <w:rsid w:val="003374CF"/>
    <w:rsid w:val="003825C4"/>
    <w:rsid w:val="003928E7"/>
    <w:rsid w:val="003A7696"/>
    <w:rsid w:val="003B1E20"/>
    <w:rsid w:val="004514BA"/>
    <w:rsid w:val="00452496"/>
    <w:rsid w:val="00507B9D"/>
    <w:rsid w:val="005768C9"/>
    <w:rsid w:val="005A12A4"/>
    <w:rsid w:val="006215E7"/>
    <w:rsid w:val="00643F7A"/>
    <w:rsid w:val="00694AE7"/>
    <w:rsid w:val="006B5A04"/>
    <w:rsid w:val="006C4323"/>
    <w:rsid w:val="006F6254"/>
    <w:rsid w:val="00716962"/>
    <w:rsid w:val="007618EF"/>
    <w:rsid w:val="00793764"/>
    <w:rsid w:val="007B52B6"/>
    <w:rsid w:val="00803AD9"/>
    <w:rsid w:val="008230D5"/>
    <w:rsid w:val="0086786E"/>
    <w:rsid w:val="00867AB0"/>
    <w:rsid w:val="00890F60"/>
    <w:rsid w:val="008D77CF"/>
    <w:rsid w:val="00900CD1"/>
    <w:rsid w:val="00903BB7"/>
    <w:rsid w:val="0093677C"/>
    <w:rsid w:val="0095144F"/>
    <w:rsid w:val="00957A9F"/>
    <w:rsid w:val="009B118E"/>
    <w:rsid w:val="009C603D"/>
    <w:rsid w:val="00A05AB0"/>
    <w:rsid w:val="00A841BD"/>
    <w:rsid w:val="00AD3D97"/>
    <w:rsid w:val="00B448B4"/>
    <w:rsid w:val="00B72794"/>
    <w:rsid w:val="00BB111D"/>
    <w:rsid w:val="00C0275C"/>
    <w:rsid w:val="00C05E19"/>
    <w:rsid w:val="00C12810"/>
    <w:rsid w:val="00C72F75"/>
    <w:rsid w:val="00CC43EB"/>
    <w:rsid w:val="00CD7572"/>
    <w:rsid w:val="00D1778A"/>
    <w:rsid w:val="00D2572A"/>
    <w:rsid w:val="00D33F2B"/>
    <w:rsid w:val="00D450E1"/>
    <w:rsid w:val="00D47DA1"/>
    <w:rsid w:val="00DA6281"/>
    <w:rsid w:val="00DB236E"/>
    <w:rsid w:val="00DD210A"/>
    <w:rsid w:val="00DE3F88"/>
    <w:rsid w:val="00E56344"/>
    <w:rsid w:val="00E71E27"/>
    <w:rsid w:val="00E84E0F"/>
    <w:rsid w:val="00E93448"/>
    <w:rsid w:val="00EC7455"/>
    <w:rsid w:val="00ED5825"/>
    <w:rsid w:val="00F44FFE"/>
    <w:rsid w:val="00F708CE"/>
    <w:rsid w:val="00FA7DC8"/>
    <w:rsid w:val="00FC4C2F"/>
    <w:rsid w:val="00FC55B2"/>
    <w:rsid w:val="00FE1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8552"/>
  <w15:docId w15:val="{6A29D745-037A-438E-B3B1-3ACF93FD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80" w:right="33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C6519"/>
    <w:pPr>
      <w:tabs>
        <w:tab w:val="center" w:pos="4680"/>
        <w:tab w:val="right" w:pos="9360"/>
      </w:tabs>
    </w:pPr>
  </w:style>
  <w:style w:type="character" w:customStyle="1" w:styleId="EncabezadoCar">
    <w:name w:val="Encabezado Car"/>
    <w:basedOn w:val="Fuentedeprrafopredeter"/>
    <w:link w:val="Encabezado"/>
    <w:uiPriority w:val="99"/>
    <w:rsid w:val="001C6519"/>
    <w:rPr>
      <w:rFonts w:ascii="Times New Roman" w:eastAsia="Times New Roman" w:hAnsi="Times New Roman" w:cs="Times New Roman"/>
      <w:lang w:val="es-ES"/>
    </w:rPr>
  </w:style>
  <w:style w:type="paragraph" w:styleId="Piedepgina">
    <w:name w:val="footer"/>
    <w:basedOn w:val="Normal"/>
    <w:link w:val="PiedepginaCar"/>
    <w:uiPriority w:val="99"/>
    <w:unhideWhenUsed/>
    <w:rsid w:val="001C6519"/>
    <w:pPr>
      <w:tabs>
        <w:tab w:val="center" w:pos="4680"/>
        <w:tab w:val="right" w:pos="9360"/>
      </w:tabs>
    </w:pPr>
  </w:style>
  <w:style w:type="character" w:customStyle="1" w:styleId="PiedepginaCar">
    <w:name w:val="Pie de página Car"/>
    <w:basedOn w:val="Fuentedeprrafopredeter"/>
    <w:link w:val="Piedepgina"/>
    <w:uiPriority w:val="99"/>
    <w:rsid w:val="001C6519"/>
    <w:rPr>
      <w:rFonts w:ascii="Times New Roman" w:eastAsia="Times New Roman" w:hAnsi="Times New Roman" w:cs="Times New Roman"/>
      <w:lang w:val="es-ES"/>
    </w:rPr>
  </w:style>
  <w:style w:type="character" w:styleId="Hipervnculo">
    <w:name w:val="Hyperlink"/>
    <w:uiPriority w:val="99"/>
    <w:rsid w:val="00867AB0"/>
    <w:rPr>
      <w:color w:val="0000FF"/>
      <w:u w:val="single"/>
      <w:lang w:val="es-ES"/>
    </w:rPr>
  </w:style>
  <w:style w:type="paragraph" w:customStyle="1" w:styleId="xmsonormal">
    <w:name w:val="x_msonormal"/>
    <w:basedOn w:val="Normal"/>
    <w:rsid w:val="000E298B"/>
    <w:pPr>
      <w:widowControl/>
      <w:autoSpaceDE/>
      <w:autoSpaceDN/>
      <w:spacing w:before="100" w:beforeAutospacing="1" w:after="100" w:afterAutospacing="1"/>
    </w:pPr>
    <w:rPr>
      <w:sz w:val="24"/>
      <w:szCs w:val="24"/>
      <w:lang w:val="es-CO" w:eastAsia="es-CO"/>
    </w:rPr>
  </w:style>
  <w:style w:type="character" w:styleId="Refdecomentario">
    <w:name w:val="annotation reference"/>
    <w:basedOn w:val="Fuentedeprrafopredeter"/>
    <w:uiPriority w:val="99"/>
    <w:semiHidden/>
    <w:unhideWhenUsed/>
    <w:rsid w:val="00054A36"/>
    <w:rPr>
      <w:sz w:val="16"/>
      <w:szCs w:val="16"/>
    </w:rPr>
  </w:style>
  <w:style w:type="paragraph" w:styleId="Textocomentario">
    <w:name w:val="annotation text"/>
    <w:basedOn w:val="Normal"/>
    <w:link w:val="TextocomentarioCar"/>
    <w:uiPriority w:val="99"/>
    <w:semiHidden/>
    <w:unhideWhenUsed/>
    <w:rsid w:val="00054A36"/>
    <w:rPr>
      <w:sz w:val="20"/>
      <w:szCs w:val="20"/>
    </w:rPr>
  </w:style>
  <w:style w:type="character" w:customStyle="1" w:styleId="TextocomentarioCar">
    <w:name w:val="Texto comentario Car"/>
    <w:basedOn w:val="Fuentedeprrafopredeter"/>
    <w:link w:val="Textocomentario"/>
    <w:uiPriority w:val="99"/>
    <w:semiHidden/>
    <w:rsid w:val="00054A3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54A36"/>
    <w:rPr>
      <w:b/>
      <w:bCs/>
    </w:rPr>
  </w:style>
  <w:style w:type="character" w:customStyle="1" w:styleId="AsuntodelcomentarioCar">
    <w:name w:val="Asunto del comentario Car"/>
    <w:basedOn w:val="TextocomentarioCar"/>
    <w:link w:val="Asuntodelcomentario"/>
    <w:uiPriority w:val="99"/>
    <w:semiHidden/>
    <w:rsid w:val="00054A36"/>
    <w:rPr>
      <w:rFonts w:ascii="Times New Roman" w:eastAsia="Times New Roman" w:hAnsi="Times New Roman" w:cs="Times New Roman"/>
      <w:b/>
      <w:bCs/>
      <w:sz w:val="20"/>
      <w:szCs w:val="20"/>
      <w:lang w:val="es-ES"/>
    </w:rPr>
  </w:style>
  <w:style w:type="character" w:customStyle="1" w:styleId="cf01">
    <w:name w:val="cf01"/>
    <w:basedOn w:val="Fuentedeprrafopredeter"/>
    <w:rsid w:val="00957A9F"/>
    <w:rPr>
      <w:rFonts w:ascii="Segoe UI" w:hAnsi="Segoe UI" w:cs="Segoe UI" w:hint="default"/>
      <w:sz w:val="18"/>
      <w:szCs w:val="18"/>
    </w:rPr>
  </w:style>
  <w:style w:type="paragraph" w:styleId="HTMLconformatoprevio">
    <w:name w:val="HTML Preformatted"/>
    <w:basedOn w:val="Normal"/>
    <w:link w:val="HTMLconformatoprevioCar"/>
    <w:uiPriority w:val="99"/>
    <w:semiHidden/>
    <w:unhideWhenUsed/>
    <w:rsid w:val="00163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1635D8"/>
    <w:rPr>
      <w:rFonts w:ascii="Courier New" w:eastAsia="Times New Roman" w:hAnsi="Courier New" w:cs="Courier New"/>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9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caldiabogota.gov.co/sisjur/normas/Norma1.jsp?i=84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1947</Words>
  <Characters>10709</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RESOLUCIÓN DE CIERRE ACTUALIZACION PALMIRA (2).doc</vt:lpstr>
      <vt:lpstr>Microsoft Word - RESOLUCIÓN DE CIERRE ACTUALIZACION PALMIRA (2).doc</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RESOLUCIÓN DE CIERRE ACTUALIZACION PALMIRA (2).doc</dc:title>
  <dc:creator>Ligia Elvira Gonzalez Martinez</dc:creator>
  <cp:lastModifiedBy>Juan Manuel Quiñones Murcia</cp:lastModifiedBy>
  <cp:revision>31</cp:revision>
  <cp:lastPrinted>2022-12-02T22:13:00Z</cp:lastPrinted>
  <dcterms:created xsi:type="dcterms:W3CDTF">2022-12-02T17:17:00Z</dcterms:created>
  <dcterms:modified xsi:type="dcterms:W3CDTF">2023-12-05T22:52:00Z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Word</vt:lpwstr>
  </property>
  <property fmtid="{D5CDD505-2E9C-101B-9397-08002B2CF9AE}" pid="4" name="LastSaved">
    <vt:filetime>2022-11-06T00:00:00Z</vt:filetime>
  </property>
  <property fmtid="{D5CDD505-2E9C-101B-9397-08002B2CF9AE}" pid="5" name="Producer">
    <vt:lpwstr>macOS Versión 10.15.7 (Fase 19H2) Quartz PDFContext</vt:lpwstr>
  </property>
</Properties>
</file>